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clear" w:pos="4536"/>
        </w:tabs>
        <w:snapToGrid w:val="0"/>
        <w:rPr>
          <w:rFonts w:hint="default" w:cs="Arial"/>
          <w:sz w:val="22"/>
          <w:szCs w:val="22"/>
          <w:lang w:val="en-US" w:eastAsia="zh-CN"/>
        </w:rPr>
      </w:pPr>
      <w:r>
        <w:rPr>
          <w:rFonts w:cs="Arial"/>
          <w:sz w:val="22"/>
          <w:szCs w:val="22"/>
        </w:rPr>
        <w:t>3GPP TSG RAN WG1</w:t>
      </w:r>
      <w:r>
        <w:rPr>
          <w:rFonts w:hint="eastAsia" w:cs="Arial"/>
          <w:sz w:val="22"/>
          <w:szCs w:val="22"/>
          <w:lang w:eastAsia="zh-CN"/>
        </w:rPr>
        <w:t xml:space="preserve"> </w:t>
      </w:r>
      <w:r>
        <w:rPr>
          <w:rFonts w:cs="Arial"/>
          <w:sz w:val="22"/>
          <w:szCs w:val="22"/>
        </w:rPr>
        <w:t>Meeting #1</w:t>
      </w:r>
      <w:r>
        <w:rPr>
          <w:rFonts w:hint="eastAsia" w:cs="Arial"/>
          <w:sz w:val="22"/>
          <w:szCs w:val="22"/>
          <w:lang w:eastAsia="zh-CN"/>
        </w:rPr>
        <w:t>10-bis-e</w:t>
      </w:r>
      <w:r>
        <w:rPr>
          <w:rFonts w:cs="Arial"/>
          <w:sz w:val="22"/>
          <w:szCs w:val="22"/>
        </w:rPr>
        <w:t xml:space="preserve">   </w:t>
      </w:r>
      <w:r>
        <w:rPr>
          <w:rFonts w:hint="eastAsia" w:cs="Arial"/>
          <w:sz w:val="22"/>
          <w:szCs w:val="22"/>
        </w:rPr>
        <w:t xml:space="preserve">                              </w:t>
      </w:r>
      <w:r>
        <w:rPr>
          <w:rFonts w:cs="Arial"/>
          <w:sz w:val="22"/>
          <w:szCs w:val="22"/>
        </w:rPr>
        <w:t xml:space="preserve">                 </w:t>
      </w:r>
      <w:r>
        <w:rPr>
          <w:rFonts w:hint="eastAsia" w:cs="Arial"/>
          <w:sz w:val="22"/>
          <w:szCs w:val="22"/>
        </w:rPr>
        <w:t xml:space="preserve">             </w:t>
      </w:r>
      <w:r>
        <w:rPr>
          <w:rFonts w:hint="eastAsia" w:cs="Arial"/>
          <w:sz w:val="22"/>
          <w:szCs w:val="22"/>
          <w:lang w:eastAsia="zh-CN"/>
        </w:rPr>
        <w:t xml:space="preserve"> R1</w:t>
      </w:r>
      <w:r>
        <w:rPr>
          <w:rFonts w:hint="eastAsia" w:cs="Arial"/>
          <w:sz w:val="22"/>
          <w:szCs w:val="22"/>
          <w:lang w:val="en-US" w:eastAsia="zh-CN"/>
        </w:rPr>
        <w:t>-</w:t>
      </w:r>
      <w:r>
        <w:rPr>
          <w:rFonts w:hint="eastAsia" w:cs="Arial"/>
          <w:sz w:val="22"/>
          <w:szCs w:val="22"/>
          <w:lang w:eastAsia="zh-CN"/>
        </w:rPr>
        <w:t>220</w:t>
      </w:r>
      <w:r>
        <w:rPr>
          <w:rFonts w:hint="eastAsia" w:cs="Arial"/>
          <w:sz w:val="22"/>
          <w:szCs w:val="22"/>
          <w:lang w:val="en-US" w:eastAsia="zh-CN"/>
        </w:rPr>
        <w:t>8524</w:t>
      </w:r>
    </w:p>
    <w:p>
      <w:pPr>
        <w:snapToGrid w:val="0"/>
        <w:spacing w:line="240" w:lineRule="auto"/>
        <w:rPr>
          <w:rFonts w:ascii="Arial" w:hAnsi="Arial"/>
          <w:b/>
        </w:rPr>
      </w:pPr>
      <w:r>
        <w:rPr>
          <w:rFonts w:hint="eastAsia" w:ascii="Arial" w:hAnsi="Arial"/>
          <w:b/>
        </w:rPr>
        <w:t>e</w:t>
      </w:r>
      <w:r>
        <w:rPr>
          <w:rFonts w:ascii="Arial" w:hAnsi="Arial"/>
          <w:b/>
        </w:rPr>
        <w:t>-Meeting</w:t>
      </w:r>
      <w:r>
        <w:rPr>
          <w:rFonts w:ascii="Arial" w:hAnsi="Arial"/>
          <w:b/>
          <w:lang w:eastAsia="ja-JP"/>
        </w:rPr>
        <w:t>,</w:t>
      </w:r>
      <w:r>
        <w:rPr>
          <w:rFonts w:hint="eastAsia" w:ascii="Arial" w:hAnsi="Arial"/>
          <w:b/>
          <w:lang w:eastAsia="ja-JP"/>
        </w:rPr>
        <w:t xml:space="preserve"> </w:t>
      </w:r>
      <w:r>
        <w:rPr>
          <w:rFonts w:hint="eastAsia" w:ascii="Arial" w:hAnsi="Arial"/>
          <w:b/>
          <w:lang w:val="en-US" w:eastAsia="zh-CN"/>
        </w:rPr>
        <w:t>Oct 10</w:t>
      </w:r>
      <w:r>
        <w:rPr>
          <w:rFonts w:ascii="Arial" w:hAnsi="Arial"/>
          <w:b/>
          <w:vertAlign w:val="superscript"/>
          <w:lang w:eastAsia="ja-JP"/>
        </w:rPr>
        <w:t>th</w:t>
      </w:r>
      <w:r>
        <w:rPr>
          <w:rFonts w:ascii="Arial" w:hAnsi="Arial"/>
          <w:b/>
          <w:lang w:eastAsia="ja-JP"/>
        </w:rPr>
        <w:t xml:space="preserve"> </w:t>
      </w:r>
      <w:r>
        <w:rPr>
          <w:rFonts w:ascii="Arial" w:hAnsi="Arial" w:cs="Arial"/>
          <w:b/>
          <w:lang w:eastAsia="ja-JP"/>
        </w:rPr>
        <w:t>–</w:t>
      </w:r>
      <w:r>
        <w:rPr>
          <w:rFonts w:hint="eastAsia" w:ascii="Arial" w:hAnsi="Arial"/>
          <w:b/>
        </w:rPr>
        <w:t xml:space="preserve"> </w:t>
      </w:r>
      <w:r>
        <w:rPr>
          <w:rFonts w:hint="eastAsia" w:ascii="Arial" w:hAnsi="Arial"/>
          <w:b/>
          <w:lang w:val="en-US" w:eastAsia="zh-CN"/>
        </w:rPr>
        <w:t>19</w:t>
      </w:r>
      <w:r>
        <w:rPr>
          <w:rFonts w:hint="eastAsia" w:ascii="Arial" w:hAnsi="Arial"/>
          <w:b/>
          <w:vertAlign w:val="superscript"/>
        </w:rPr>
        <w:t>th</w:t>
      </w:r>
      <w:r>
        <w:rPr>
          <w:rFonts w:hint="eastAsia" w:ascii="Arial" w:hAnsi="Arial"/>
          <w:b/>
          <w:lang w:eastAsia="ja-JP"/>
        </w:rPr>
        <w:t>, 20</w:t>
      </w:r>
      <w:r>
        <w:rPr>
          <w:rFonts w:ascii="Arial" w:hAnsi="Arial"/>
          <w:b/>
          <w:lang w:eastAsia="ja-JP"/>
        </w:rPr>
        <w:t>2</w:t>
      </w:r>
      <w:r>
        <w:rPr>
          <w:rFonts w:hint="eastAsia" w:ascii="Arial" w:hAnsi="Arial"/>
          <w:b/>
        </w:rPr>
        <w:t>2</w:t>
      </w:r>
    </w:p>
    <w:p>
      <w:pPr>
        <w:snapToGrid w:val="0"/>
        <w:spacing w:after="0" w:line="240" w:lineRule="auto"/>
        <w:rPr>
          <w:rFonts w:ascii="Arial" w:hAnsi="Arial" w:cs="Arial"/>
          <w:b/>
        </w:rPr>
      </w:pPr>
      <w:r>
        <w:rPr>
          <w:rFonts w:ascii="Arial" w:hAnsi="Arial" w:eastAsia="MS Mincho" w:cs="Arial"/>
          <w:b/>
          <w:lang w:eastAsia="ja-JP"/>
        </w:rPr>
        <w:t>Source:              ZTE</w:t>
      </w:r>
      <w:r>
        <w:rPr>
          <w:rFonts w:ascii="Arial" w:hAnsi="Arial" w:cs="Arial"/>
          <w:b/>
        </w:rPr>
        <w:t xml:space="preserve"> Corporation</w:t>
      </w:r>
    </w:p>
    <w:p>
      <w:pPr>
        <w:pStyle w:val="18"/>
        <w:tabs>
          <w:tab w:val="clear" w:pos="4536"/>
        </w:tabs>
        <w:snapToGrid w:val="0"/>
        <w:rPr>
          <w:rFonts w:cs="Arial"/>
          <w:sz w:val="22"/>
          <w:szCs w:val="22"/>
          <w:lang w:eastAsia="zh-CN"/>
        </w:rPr>
      </w:pPr>
      <w:r>
        <w:rPr>
          <w:rFonts w:cs="Arial"/>
          <w:sz w:val="22"/>
          <w:szCs w:val="22"/>
          <w:lang w:eastAsia="zh-CN"/>
        </w:rPr>
        <w:t>Title:</w:t>
      </w:r>
      <w:r>
        <w:rPr>
          <w:rFonts w:hint="eastAsia" w:cs="Arial"/>
          <w:sz w:val="22"/>
          <w:szCs w:val="22"/>
          <w:lang w:eastAsia="zh-CN"/>
        </w:rPr>
        <w:t xml:space="preserve">                   Discussion on other aspects for AI beam management</w:t>
      </w:r>
    </w:p>
    <w:p>
      <w:pPr>
        <w:pStyle w:val="18"/>
        <w:tabs>
          <w:tab w:val="clear" w:pos="4536"/>
        </w:tabs>
        <w:snapToGrid w:val="0"/>
        <w:rPr>
          <w:rFonts w:eastAsia="宋体" w:cs="Arial"/>
          <w:sz w:val="22"/>
          <w:szCs w:val="22"/>
          <w:lang w:eastAsia="zh-CN"/>
        </w:rPr>
      </w:pPr>
      <w:r>
        <w:rPr>
          <w:rFonts w:eastAsia="宋体" w:cs="Arial"/>
          <w:sz w:val="22"/>
          <w:szCs w:val="22"/>
          <w:lang w:eastAsia="zh-CN"/>
        </w:rPr>
        <w:t>Agenda Item:</w:t>
      </w:r>
      <w:bookmarkStart w:id="0" w:name="Source"/>
      <w:bookmarkEnd w:id="0"/>
      <w:r>
        <w:rPr>
          <w:rFonts w:eastAsia="宋体" w:cs="Arial"/>
          <w:sz w:val="22"/>
          <w:szCs w:val="22"/>
          <w:lang w:eastAsia="zh-CN"/>
        </w:rPr>
        <w:t xml:space="preserve">     9.2.3.</w:t>
      </w:r>
      <w:r>
        <w:rPr>
          <w:rFonts w:hint="eastAsia" w:eastAsia="宋体" w:cs="Arial"/>
          <w:sz w:val="22"/>
          <w:szCs w:val="22"/>
          <w:lang w:eastAsia="zh-CN"/>
        </w:rPr>
        <w:t>2</w:t>
      </w:r>
    </w:p>
    <w:p>
      <w:pPr>
        <w:pStyle w:val="18"/>
        <w:tabs>
          <w:tab w:val="clear" w:pos="4536"/>
        </w:tabs>
        <w:snapToGrid w:val="0"/>
        <w:rPr>
          <w:rFonts w:eastAsia="宋体" w:cs="Arial"/>
          <w:sz w:val="22"/>
          <w:szCs w:val="22"/>
          <w:lang w:eastAsia="zh-CN"/>
        </w:rPr>
      </w:pPr>
      <w:r>
        <w:rPr>
          <w:rFonts w:eastAsia="宋体" w:cs="Arial"/>
          <w:sz w:val="22"/>
          <w:szCs w:val="22"/>
          <w:lang w:eastAsia="zh-CN"/>
        </w:rPr>
        <w:t>Document for:</w:t>
      </w:r>
      <w:bookmarkStart w:id="1" w:name="DocumentFor"/>
      <w:bookmarkEnd w:id="1"/>
      <w:r>
        <w:rPr>
          <w:rFonts w:eastAsia="宋体" w:cs="Arial"/>
          <w:sz w:val="22"/>
          <w:szCs w:val="22"/>
          <w:lang w:eastAsia="zh-CN"/>
        </w:rPr>
        <w:t xml:space="preserve">   Discussion and Decision</w:t>
      </w:r>
    </w:p>
    <w:p>
      <w:pPr>
        <w:pStyle w:val="18"/>
        <w:tabs>
          <w:tab w:val="clear" w:pos="4536"/>
        </w:tabs>
        <w:snapToGrid w:val="0"/>
        <w:rPr>
          <w:rFonts w:eastAsia="宋体"/>
          <w:szCs w:val="20"/>
          <w:lang w:eastAsia="zh-CN"/>
        </w:rPr>
      </w:pPr>
    </w:p>
    <w:p>
      <w:pPr>
        <w:pBdr>
          <w:bottom w:val="single" w:color="auto" w:sz="4" w:space="1"/>
        </w:pBdr>
        <w:tabs>
          <w:tab w:val="left" w:pos="2552"/>
        </w:tabs>
        <w:snapToGrid w:val="0"/>
        <w:spacing w:line="240" w:lineRule="auto"/>
        <w:rPr>
          <w:sz w:val="4"/>
          <w:szCs w:val="4"/>
        </w:rPr>
      </w:pPr>
    </w:p>
    <w:p>
      <w:pPr>
        <w:numPr>
          <w:ilvl w:val="0"/>
          <w:numId w:val="5"/>
        </w:numPr>
        <w:tabs>
          <w:tab w:val="clear" w:pos="432"/>
        </w:tabs>
        <w:snapToGrid w:val="0"/>
        <w:spacing w:before="120" w:beforeLines="50" w:after="120" w:afterLines="50" w:line="288" w:lineRule="auto"/>
        <w:ind w:left="567" w:hanging="567"/>
        <w:jc w:val="both"/>
        <w:outlineLvl w:val="0"/>
        <w:rPr>
          <w:b/>
          <w:sz w:val="28"/>
          <w:szCs w:val="28"/>
          <w:lang w:val="en-GB"/>
        </w:rPr>
      </w:pPr>
      <w:r>
        <w:rPr>
          <w:b/>
          <w:sz w:val="28"/>
          <w:szCs w:val="28"/>
        </w:rPr>
        <w:t>Introduction</w:t>
      </w:r>
    </w:p>
    <w:p>
      <w:pPr>
        <w:spacing w:before="72" w:beforeLines="30" w:after="72" w:afterLines="30" w:line="288" w:lineRule="auto"/>
        <w:jc w:val="both"/>
        <w:rPr>
          <w:rFonts w:hint="eastAsia" w:eastAsia="Times New Roman"/>
          <w:sz w:val="20"/>
          <w:szCs w:val="20"/>
          <w:lang w:val="en-GB" w:eastAsia="zh-CN"/>
        </w:rPr>
      </w:pPr>
      <w:r>
        <w:rPr>
          <w:rFonts w:hint="eastAsia" w:eastAsia="Times New Roman"/>
          <w:sz w:val="20"/>
          <w:szCs w:val="20"/>
          <w:lang w:val="en-GB" w:eastAsia="zh-CN"/>
        </w:rPr>
        <w:t>In RAN1#109-e, a number of productive consensuses have been reached on potential specification enhancements for AI/ML-based beam management, such as sub-use case selection and AI/ML deployment</w:t>
      </w:r>
      <w:r>
        <w:rPr>
          <w:rFonts w:hint="eastAsia" w:eastAsia="Times New Roman"/>
          <w:sz w:val="20"/>
          <w:szCs w:val="20"/>
          <w:lang w:val="en-US" w:eastAsia="zh-CN"/>
        </w:rPr>
        <w:t xml:space="preserve"> [1]</w:t>
      </w:r>
      <w:r>
        <w:rPr>
          <w:rFonts w:hint="eastAsia" w:eastAsia="Times New Roman"/>
          <w:sz w:val="20"/>
          <w:szCs w:val="20"/>
          <w:lang w:val="en-GB" w:eastAsia="zh-CN"/>
        </w:rPr>
        <w:t xml:space="preserve">. In addition, it has been agreed that the assessment of specification impacts is sub-use-case specific and can be discussed after the sub-use case is finalized. </w:t>
      </w:r>
      <w:r>
        <w:rPr>
          <w:rFonts w:hint="eastAsia" w:eastAsia="Times New Roman"/>
          <w:sz w:val="20"/>
          <w:szCs w:val="20"/>
          <w:lang w:val="en-US" w:eastAsia="zh-CN"/>
        </w:rPr>
        <w:t xml:space="preserve">In RAN1#110, </w:t>
      </w:r>
      <w:r>
        <w:rPr>
          <w:rFonts w:hint="default" w:eastAsia="Times New Roman"/>
          <w:sz w:val="20"/>
          <w:szCs w:val="20"/>
          <w:lang w:val="en-US" w:eastAsia="zh-CN"/>
        </w:rPr>
        <w:t xml:space="preserve">relevant </w:t>
      </w:r>
      <w:r>
        <w:rPr>
          <w:rFonts w:hint="eastAsia" w:eastAsia="Times New Roman"/>
          <w:sz w:val="20"/>
          <w:szCs w:val="20"/>
          <w:lang w:val="en-US" w:eastAsia="zh-CN"/>
        </w:rPr>
        <w:t xml:space="preserve">conclusions </w:t>
      </w:r>
      <w:r>
        <w:rPr>
          <w:rFonts w:hint="default" w:eastAsia="Times New Roman"/>
          <w:sz w:val="20"/>
          <w:szCs w:val="20"/>
          <w:lang w:val="en-US" w:eastAsia="zh-CN"/>
        </w:rPr>
        <w:t>made in RAN1#109-e were further updated with some modifications on wording</w:t>
      </w:r>
      <w:r>
        <w:rPr>
          <w:rFonts w:hint="eastAsia" w:eastAsia="Times New Roman"/>
          <w:sz w:val="20"/>
          <w:szCs w:val="20"/>
          <w:lang w:val="en-US" w:eastAsia="zh-CN"/>
        </w:rPr>
        <w:t xml:space="preserve"> and s</w:t>
      </w:r>
      <w:r>
        <w:rPr>
          <w:rFonts w:hint="default" w:eastAsia="Times New Roman"/>
          <w:sz w:val="20"/>
          <w:szCs w:val="20"/>
          <w:lang w:val="en-US" w:eastAsia="zh-CN"/>
        </w:rPr>
        <w:t>ome high-level aspects of potential spec impact</w:t>
      </w:r>
      <w:r>
        <w:rPr>
          <w:rFonts w:hint="eastAsia" w:eastAsia="Times New Roman"/>
          <w:sz w:val="20"/>
          <w:szCs w:val="20"/>
          <w:lang w:val="en-US" w:eastAsia="zh-CN"/>
        </w:rPr>
        <w:t>s</w:t>
      </w:r>
      <w:r>
        <w:rPr>
          <w:rFonts w:hint="default" w:eastAsia="Times New Roman"/>
          <w:sz w:val="20"/>
          <w:szCs w:val="20"/>
          <w:lang w:val="en-US" w:eastAsia="zh-CN"/>
        </w:rPr>
        <w:t xml:space="preserve"> were </w:t>
      </w:r>
      <w:r>
        <w:rPr>
          <w:rFonts w:hint="eastAsia" w:eastAsia="Times New Roman"/>
          <w:sz w:val="20"/>
          <w:szCs w:val="20"/>
          <w:lang w:val="en-US" w:eastAsia="zh-CN"/>
        </w:rPr>
        <w:t>reached [2], which are listed in the following. At the current stage</w:t>
      </w:r>
      <w:r>
        <w:rPr>
          <w:rFonts w:hint="eastAsia" w:eastAsia="Times New Roman"/>
          <w:sz w:val="20"/>
          <w:szCs w:val="20"/>
          <w:lang w:val="en-GB" w:eastAsia="zh-CN"/>
        </w:rPr>
        <w:t>, there are still quite a few options for sub-use cases and associated AI inputs/outputs, making it difficult to concretize and converge the discussion of specification impacts. Therefore, in this contribution, we will make some recommendations on sub-use case details and analyse potential specification impacts.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2" w:type="dxa"/>
          </w:tcPr>
          <w:p>
            <w:pPr>
              <w:keepNext w:val="0"/>
              <w:keepLines w:val="0"/>
              <w:pageBreakBefore w:val="0"/>
              <w:widowControl w:val="0"/>
              <w:kinsoku/>
              <w:wordWrap/>
              <w:overflowPunct/>
              <w:topLinePunct w:val="0"/>
              <w:autoSpaceDE/>
              <w:autoSpaceDN/>
              <w:bidi w:val="0"/>
              <w:adjustRightInd/>
              <w:snapToGrid w:val="0"/>
              <w:spacing w:before="95" w:beforeLines="30" w:after="109" w:afterLines="30" w:line="288" w:lineRule="auto"/>
              <w:jc w:val="both"/>
              <w:textAlignment w:val="auto"/>
              <w:rPr>
                <w:rFonts w:hint="default" w:ascii="Times New Roman" w:hAnsi="Times New Roman" w:eastAsia="宋体" w:cs="Times New Roman"/>
                <w:b/>
                <w:bCs w:val="0"/>
                <w:i w:val="0"/>
                <w:iCs/>
                <w:color w:val="auto"/>
                <w:kern w:val="2"/>
                <w:sz w:val="20"/>
                <w:szCs w:val="20"/>
                <w:highlight w:val="none"/>
                <w:u w:val="none"/>
                <w:lang w:eastAsia="zh-CN"/>
              </w:rPr>
            </w:pPr>
            <w:r>
              <w:rPr>
                <w:rFonts w:hint="default" w:ascii="Times New Roman" w:hAnsi="Times New Roman" w:eastAsia="宋体" w:cs="Times New Roman"/>
                <w:b/>
                <w:bCs w:val="0"/>
                <w:i w:val="0"/>
                <w:iCs/>
                <w:color w:val="auto"/>
                <w:kern w:val="2"/>
                <w:sz w:val="20"/>
                <w:szCs w:val="20"/>
                <w:highlight w:val="none"/>
                <w:u w:val="none"/>
                <w:lang w:eastAsia="zh-CN"/>
              </w:rPr>
              <w:t>Agreement</w:t>
            </w:r>
            <w:r>
              <w:rPr>
                <w:rFonts w:hint="eastAsia" w:cs="Times New Roman"/>
                <w:b/>
                <w:bCs w:val="0"/>
                <w:i w:val="0"/>
                <w:iCs/>
                <w:color w:val="auto"/>
                <w:kern w:val="2"/>
                <w:sz w:val="20"/>
                <w:szCs w:val="20"/>
                <w:highlight w:val="none"/>
                <w:u w:val="none"/>
                <w:lang w:val="en-US" w:eastAsia="zh-CN"/>
              </w:rPr>
              <w:t>:</w:t>
            </w:r>
            <w:r>
              <w:rPr>
                <w:rFonts w:hint="default" w:ascii="Times New Roman" w:hAnsi="Times New Roman" w:eastAsia="宋体" w:cs="Times New Roman"/>
                <w:b/>
                <w:bCs w:val="0"/>
                <w:i w:val="0"/>
                <w:iCs/>
                <w:color w:val="auto"/>
                <w:kern w:val="2"/>
                <w:sz w:val="20"/>
                <w:szCs w:val="20"/>
                <w:highlight w:val="none"/>
                <w:u w:val="none"/>
                <w:lang w:eastAsia="zh-CN"/>
              </w:rPr>
              <w:t xml:space="preserve"> </w:t>
            </w:r>
          </w:p>
          <w:p>
            <w:pPr>
              <w:keepNext w:val="0"/>
              <w:keepLines w:val="0"/>
              <w:pageBreakBefore w:val="0"/>
              <w:widowControl w:val="0"/>
              <w:kinsoku/>
              <w:wordWrap/>
              <w:overflowPunct/>
              <w:topLinePunct w:val="0"/>
              <w:autoSpaceDE/>
              <w:autoSpaceDN/>
              <w:bidi w:val="0"/>
              <w:adjustRightInd/>
              <w:snapToGrid w:val="0"/>
              <w:spacing w:before="95" w:beforeLines="30" w:after="109" w:afterLines="30" w:line="288" w:lineRule="auto"/>
              <w:jc w:val="both"/>
              <w:textAlignment w:val="auto"/>
              <w:rPr>
                <w:rFonts w:hint="default" w:ascii="Times New Roman" w:hAnsi="Times New Roman" w:eastAsia="宋体" w:cs="Times New Roman"/>
                <w:b w:val="0"/>
                <w:bCs/>
                <w:i w:val="0"/>
                <w:iCs/>
                <w:color w:val="auto"/>
                <w:kern w:val="2"/>
                <w:sz w:val="20"/>
                <w:szCs w:val="20"/>
                <w:lang w:eastAsia="zh-CN"/>
              </w:rPr>
            </w:pPr>
            <w:r>
              <w:rPr>
                <w:rFonts w:hint="default" w:ascii="Times New Roman" w:hAnsi="Times New Roman" w:eastAsia="宋体" w:cs="Times New Roman"/>
                <w:b w:val="0"/>
                <w:bCs/>
                <w:i w:val="0"/>
                <w:iCs/>
                <w:color w:val="auto"/>
                <w:kern w:val="2"/>
                <w:sz w:val="20"/>
                <w:szCs w:val="20"/>
                <w:lang w:eastAsia="zh-CN"/>
              </w:rPr>
              <w:t>At least for the sub use case BM-Case1 and BM-Case2, support both Alt.1 and Alt.2 for the study of AI/ML model training:</w:t>
            </w:r>
          </w:p>
          <w:p>
            <w:pPr>
              <w:keepNext w:val="0"/>
              <w:keepLines w:val="0"/>
              <w:pageBreakBefore w:val="0"/>
              <w:widowControl w:val="0"/>
              <w:numPr>
                <w:ilvl w:val="0"/>
                <w:numId w:val="6"/>
              </w:numPr>
              <w:kinsoku/>
              <w:wordWrap/>
              <w:overflowPunct/>
              <w:topLinePunct w:val="0"/>
              <w:autoSpaceDE/>
              <w:autoSpaceDN/>
              <w:bidi w:val="0"/>
              <w:adjustRightInd/>
              <w:snapToGrid w:val="0"/>
              <w:spacing w:before="95" w:beforeLines="30" w:after="109" w:afterLines="30" w:line="288" w:lineRule="auto"/>
              <w:jc w:val="both"/>
              <w:textAlignment w:val="auto"/>
              <w:rPr>
                <w:rFonts w:hint="default" w:ascii="Times New Roman" w:hAnsi="Times New Roman" w:eastAsia="宋体" w:cs="Times New Roman"/>
                <w:b w:val="0"/>
                <w:bCs/>
                <w:i w:val="0"/>
                <w:iCs/>
                <w:color w:val="auto"/>
                <w:kern w:val="2"/>
                <w:sz w:val="20"/>
                <w:szCs w:val="20"/>
                <w:lang w:eastAsia="zh-CN"/>
              </w:rPr>
            </w:pPr>
            <w:r>
              <w:rPr>
                <w:rFonts w:hint="default" w:ascii="Times New Roman" w:hAnsi="Times New Roman" w:eastAsia="宋体" w:cs="Times New Roman"/>
                <w:b w:val="0"/>
                <w:bCs/>
                <w:i w:val="0"/>
                <w:iCs/>
                <w:color w:val="auto"/>
                <w:kern w:val="2"/>
                <w:sz w:val="20"/>
                <w:szCs w:val="20"/>
                <w:lang w:eastAsia="zh-CN"/>
              </w:rPr>
              <w:t>Alt.1: AI/ML model training at NW side;</w:t>
            </w:r>
          </w:p>
          <w:p>
            <w:pPr>
              <w:keepNext w:val="0"/>
              <w:keepLines w:val="0"/>
              <w:pageBreakBefore w:val="0"/>
              <w:widowControl w:val="0"/>
              <w:numPr>
                <w:ilvl w:val="0"/>
                <w:numId w:val="6"/>
              </w:numPr>
              <w:kinsoku/>
              <w:wordWrap/>
              <w:overflowPunct/>
              <w:topLinePunct w:val="0"/>
              <w:autoSpaceDE/>
              <w:autoSpaceDN/>
              <w:bidi w:val="0"/>
              <w:adjustRightInd/>
              <w:snapToGrid w:val="0"/>
              <w:spacing w:before="95" w:beforeLines="30" w:after="109" w:afterLines="30" w:line="288" w:lineRule="auto"/>
              <w:jc w:val="both"/>
              <w:textAlignment w:val="auto"/>
              <w:rPr>
                <w:rFonts w:hint="default" w:ascii="Times New Roman" w:hAnsi="Times New Roman" w:eastAsia="宋体" w:cs="Times New Roman"/>
                <w:b w:val="0"/>
                <w:bCs/>
                <w:i w:val="0"/>
                <w:iCs/>
                <w:color w:val="auto"/>
                <w:kern w:val="2"/>
                <w:sz w:val="20"/>
                <w:szCs w:val="20"/>
                <w:lang w:eastAsia="zh-CN"/>
              </w:rPr>
            </w:pPr>
            <w:r>
              <w:rPr>
                <w:rFonts w:hint="default" w:ascii="Times New Roman" w:hAnsi="Times New Roman" w:eastAsia="宋体" w:cs="Times New Roman"/>
                <w:b w:val="0"/>
                <w:bCs/>
                <w:i w:val="0"/>
                <w:iCs/>
                <w:color w:val="auto"/>
                <w:kern w:val="2"/>
                <w:sz w:val="20"/>
                <w:szCs w:val="20"/>
                <w:lang w:eastAsia="zh-CN"/>
              </w:rPr>
              <w:t>Alt.2: AI/ML model training at UE side.</w:t>
            </w:r>
          </w:p>
          <w:p>
            <w:pPr>
              <w:keepNext w:val="0"/>
              <w:keepLines w:val="0"/>
              <w:pageBreakBefore w:val="0"/>
              <w:widowControl w:val="0"/>
              <w:numPr>
                <w:ilvl w:val="0"/>
                <w:numId w:val="6"/>
              </w:numPr>
              <w:kinsoku/>
              <w:wordWrap/>
              <w:overflowPunct/>
              <w:topLinePunct w:val="0"/>
              <w:autoSpaceDE/>
              <w:autoSpaceDN/>
              <w:bidi w:val="0"/>
              <w:adjustRightInd/>
              <w:snapToGrid w:val="0"/>
              <w:spacing w:before="95" w:beforeLines="30" w:after="109" w:afterLines="30" w:line="288" w:lineRule="auto"/>
              <w:jc w:val="both"/>
              <w:textAlignment w:val="auto"/>
              <w:rPr>
                <w:rFonts w:hint="default" w:ascii="Times New Roman" w:hAnsi="Times New Roman" w:eastAsia="宋体" w:cs="Times New Roman"/>
                <w:b w:val="0"/>
                <w:bCs/>
                <w:i w:val="0"/>
                <w:iCs/>
                <w:color w:val="auto"/>
                <w:kern w:val="2"/>
                <w:sz w:val="20"/>
                <w:szCs w:val="20"/>
                <w:lang w:eastAsia="zh-CN"/>
              </w:rPr>
            </w:pPr>
            <w:r>
              <w:rPr>
                <w:rFonts w:hint="default" w:ascii="Times New Roman" w:hAnsi="Times New Roman" w:eastAsia="宋体" w:cs="Times New Roman"/>
                <w:b w:val="0"/>
                <w:bCs/>
                <w:i w:val="0"/>
                <w:iCs/>
                <w:color w:val="auto"/>
                <w:kern w:val="2"/>
                <w:sz w:val="20"/>
                <w:szCs w:val="20"/>
                <w:lang w:eastAsia="zh-CN"/>
              </w:rPr>
              <w:t>Note: Whether it is online or offline training is a separate discussion.</w:t>
            </w:r>
          </w:p>
          <w:p>
            <w:pPr>
              <w:keepNext w:val="0"/>
              <w:keepLines w:val="0"/>
              <w:pageBreakBefore w:val="0"/>
              <w:widowControl w:val="0"/>
              <w:numPr>
                <w:ilvl w:val="0"/>
                <w:numId w:val="0"/>
              </w:numPr>
              <w:kinsoku/>
              <w:wordWrap/>
              <w:overflowPunct/>
              <w:topLinePunct w:val="0"/>
              <w:autoSpaceDE/>
              <w:autoSpaceDN/>
              <w:bidi w:val="0"/>
              <w:adjustRightInd/>
              <w:snapToGrid w:val="0"/>
              <w:spacing w:before="95" w:beforeLines="30" w:after="109" w:afterLines="30" w:line="288" w:lineRule="auto"/>
              <w:jc w:val="both"/>
              <w:textAlignment w:val="auto"/>
              <w:rPr>
                <w:rFonts w:hint="default" w:ascii="Times New Roman" w:hAnsi="Times New Roman" w:eastAsia="宋体" w:cs="Times New Roman"/>
                <w:b w:val="0"/>
                <w:bCs/>
                <w:i w:val="0"/>
                <w:iCs/>
                <w:color w:val="auto"/>
                <w:kern w:val="2"/>
                <w:sz w:val="20"/>
                <w:szCs w:val="20"/>
                <w:lang w:eastAsia="zh-CN"/>
              </w:rPr>
            </w:pPr>
          </w:p>
          <w:p>
            <w:pPr>
              <w:keepNext w:val="0"/>
              <w:keepLines w:val="0"/>
              <w:pageBreakBefore w:val="0"/>
              <w:widowControl w:val="0"/>
              <w:kinsoku/>
              <w:wordWrap/>
              <w:overflowPunct/>
              <w:topLinePunct w:val="0"/>
              <w:autoSpaceDE/>
              <w:autoSpaceDN/>
              <w:bidi w:val="0"/>
              <w:adjustRightInd/>
              <w:snapToGrid w:val="0"/>
              <w:spacing w:before="95" w:beforeLines="30" w:after="109" w:afterLines="30" w:line="288" w:lineRule="auto"/>
              <w:jc w:val="both"/>
              <w:textAlignment w:val="auto"/>
              <w:rPr>
                <w:rFonts w:hint="default" w:ascii="Times New Roman" w:hAnsi="Times New Roman" w:eastAsia="宋体" w:cs="Times New Roman"/>
                <w:b/>
                <w:bCs w:val="0"/>
                <w:i w:val="0"/>
                <w:iCs/>
                <w:color w:val="auto"/>
                <w:kern w:val="2"/>
                <w:sz w:val="20"/>
                <w:szCs w:val="20"/>
                <w:highlight w:val="none"/>
                <w:lang w:eastAsia="zh-CN"/>
              </w:rPr>
            </w:pPr>
            <w:r>
              <w:rPr>
                <w:rFonts w:hint="default" w:ascii="Times New Roman" w:hAnsi="Times New Roman" w:eastAsia="宋体" w:cs="Times New Roman"/>
                <w:b/>
                <w:bCs w:val="0"/>
                <w:i w:val="0"/>
                <w:iCs/>
                <w:color w:val="auto"/>
                <w:kern w:val="2"/>
                <w:sz w:val="20"/>
                <w:szCs w:val="20"/>
                <w:highlight w:val="none"/>
                <w:lang w:eastAsia="zh-CN"/>
              </w:rPr>
              <w:t>Agreement</w:t>
            </w:r>
            <w:r>
              <w:rPr>
                <w:rFonts w:hint="eastAsia" w:cs="Times New Roman"/>
                <w:b/>
                <w:bCs w:val="0"/>
                <w:i w:val="0"/>
                <w:iCs/>
                <w:color w:val="auto"/>
                <w:kern w:val="2"/>
                <w:sz w:val="20"/>
                <w:szCs w:val="20"/>
                <w:highlight w:val="none"/>
                <w:lang w:val="en-US" w:eastAsia="zh-CN"/>
              </w:rPr>
              <w:t>:</w:t>
            </w:r>
            <w:r>
              <w:rPr>
                <w:rFonts w:hint="default" w:ascii="Times New Roman" w:hAnsi="Times New Roman" w:eastAsia="宋体" w:cs="Times New Roman"/>
                <w:b/>
                <w:bCs w:val="0"/>
                <w:i w:val="0"/>
                <w:iCs/>
                <w:color w:val="auto"/>
                <w:kern w:val="2"/>
                <w:sz w:val="20"/>
                <w:szCs w:val="20"/>
                <w:highlight w:val="none"/>
                <w:lang w:eastAsia="zh-CN"/>
              </w:rPr>
              <w:t xml:space="preserve"> </w:t>
            </w:r>
          </w:p>
          <w:p>
            <w:pPr>
              <w:keepNext w:val="0"/>
              <w:keepLines w:val="0"/>
              <w:pageBreakBefore w:val="0"/>
              <w:widowControl w:val="0"/>
              <w:kinsoku/>
              <w:wordWrap/>
              <w:overflowPunct/>
              <w:topLinePunct w:val="0"/>
              <w:autoSpaceDE/>
              <w:autoSpaceDN/>
              <w:bidi w:val="0"/>
              <w:adjustRightInd/>
              <w:snapToGrid w:val="0"/>
              <w:spacing w:before="95" w:beforeLines="30" w:after="109" w:afterLines="30" w:line="288" w:lineRule="auto"/>
              <w:textAlignment w:val="auto"/>
              <w:rPr>
                <w:rFonts w:hint="default" w:ascii="Times New Roman" w:hAnsi="Times New Roman" w:eastAsia="宋体" w:cs="Times New Roman"/>
                <w:b w:val="0"/>
                <w:bCs/>
                <w:i w:val="0"/>
                <w:iCs/>
                <w:color w:val="auto"/>
                <w:kern w:val="2"/>
                <w:sz w:val="20"/>
                <w:szCs w:val="20"/>
                <w:lang w:eastAsia="zh-CN"/>
              </w:rPr>
            </w:pPr>
            <w:r>
              <w:rPr>
                <w:rFonts w:hint="default" w:ascii="Times New Roman" w:hAnsi="Times New Roman" w:eastAsia="宋体" w:cs="Times New Roman"/>
                <w:b w:val="0"/>
                <w:bCs/>
                <w:i w:val="0"/>
                <w:iCs/>
                <w:color w:val="auto"/>
                <w:kern w:val="2"/>
                <w:sz w:val="20"/>
                <w:szCs w:val="20"/>
                <w:lang w:eastAsia="zh-CN"/>
              </w:rPr>
              <w:t>For the sub use case BM-Case1 and BM-Case2, further study the following alternatives for the predicted beams:</w:t>
            </w:r>
          </w:p>
          <w:p>
            <w:pPr>
              <w:keepNext w:val="0"/>
              <w:keepLines w:val="0"/>
              <w:pageBreakBefore w:val="0"/>
              <w:widowControl w:val="0"/>
              <w:numPr>
                <w:ilvl w:val="0"/>
                <w:numId w:val="6"/>
              </w:numPr>
              <w:kinsoku/>
              <w:wordWrap/>
              <w:overflowPunct/>
              <w:topLinePunct w:val="0"/>
              <w:autoSpaceDE/>
              <w:autoSpaceDN/>
              <w:bidi w:val="0"/>
              <w:adjustRightInd/>
              <w:snapToGrid w:val="0"/>
              <w:spacing w:before="95" w:beforeLines="30" w:after="109" w:afterLines="30" w:line="288" w:lineRule="auto"/>
              <w:jc w:val="both"/>
              <w:textAlignment w:val="auto"/>
              <w:rPr>
                <w:rFonts w:hint="default" w:ascii="Times New Roman" w:hAnsi="Times New Roman" w:eastAsia="宋体" w:cs="Times New Roman"/>
                <w:b w:val="0"/>
                <w:bCs/>
                <w:i w:val="0"/>
                <w:iCs/>
                <w:color w:val="auto"/>
                <w:kern w:val="2"/>
                <w:sz w:val="20"/>
                <w:szCs w:val="20"/>
                <w:lang w:eastAsia="zh-CN"/>
              </w:rPr>
            </w:pPr>
            <w:r>
              <w:rPr>
                <w:rFonts w:hint="default" w:ascii="Times New Roman" w:hAnsi="Times New Roman" w:eastAsia="宋体" w:cs="Times New Roman"/>
                <w:b w:val="0"/>
                <w:bCs/>
                <w:i w:val="0"/>
                <w:iCs/>
                <w:color w:val="auto"/>
                <w:kern w:val="2"/>
                <w:sz w:val="20"/>
                <w:szCs w:val="20"/>
                <w:lang w:eastAsia="zh-CN"/>
              </w:rPr>
              <w:t>Alt.1: DL Tx beam prediction</w:t>
            </w:r>
          </w:p>
          <w:p>
            <w:pPr>
              <w:keepNext w:val="0"/>
              <w:keepLines w:val="0"/>
              <w:pageBreakBefore w:val="0"/>
              <w:widowControl w:val="0"/>
              <w:numPr>
                <w:ilvl w:val="0"/>
                <w:numId w:val="6"/>
              </w:numPr>
              <w:kinsoku/>
              <w:wordWrap/>
              <w:overflowPunct/>
              <w:topLinePunct w:val="0"/>
              <w:autoSpaceDE/>
              <w:autoSpaceDN/>
              <w:bidi w:val="0"/>
              <w:adjustRightInd/>
              <w:snapToGrid w:val="0"/>
              <w:spacing w:before="95" w:beforeLines="30" w:after="109" w:afterLines="30" w:line="288" w:lineRule="auto"/>
              <w:jc w:val="both"/>
              <w:textAlignment w:val="auto"/>
              <w:rPr>
                <w:rFonts w:hint="default" w:ascii="Times New Roman" w:hAnsi="Times New Roman" w:eastAsia="宋体" w:cs="Times New Roman"/>
                <w:b w:val="0"/>
                <w:bCs/>
                <w:i w:val="0"/>
                <w:iCs/>
                <w:color w:val="auto"/>
                <w:kern w:val="2"/>
                <w:sz w:val="20"/>
                <w:szCs w:val="20"/>
                <w:lang w:eastAsia="zh-CN"/>
              </w:rPr>
            </w:pPr>
            <w:r>
              <w:rPr>
                <w:rFonts w:hint="default" w:ascii="Times New Roman" w:hAnsi="Times New Roman" w:eastAsia="宋体" w:cs="Times New Roman"/>
                <w:b w:val="0"/>
                <w:bCs/>
                <w:i w:val="0"/>
                <w:iCs/>
                <w:color w:val="auto"/>
                <w:kern w:val="2"/>
                <w:sz w:val="20"/>
                <w:szCs w:val="20"/>
                <w:lang w:eastAsia="zh-CN"/>
              </w:rPr>
              <w:t>Alt.2: DL Rx beam prediction</w:t>
            </w:r>
          </w:p>
          <w:p>
            <w:pPr>
              <w:keepNext w:val="0"/>
              <w:keepLines w:val="0"/>
              <w:pageBreakBefore w:val="0"/>
              <w:widowControl w:val="0"/>
              <w:numPr>
                <w:ilvl w:val="0"/>
                <w:numId w:val="6"/>
              </w:numPr>
              <w:kinsoku/>
              <w:wordWrap/>
              <w:overflowPunct/>
              <w:topLinePunct w:val="0"/>
              <w:autoSpaceDE/>
              <w:autoSpaceDN/>
              <w:bidi w:val="0"/>
              <w:adjustRightInd/>
              <w:snapToGrid w:val="0"/>
              <w:spacing w:before="95" w:beforeLines="30" w:after="109" w:afterLines="30" w:line="288" w:lineRule="auto"/>
              <w:jc w:val="both"/>
              <w:textAlignment w:val="auto"/>
              <w:rPr>
                <w:rFonts w:hint="default" w:ascii="Times New Roman" w:hAnsi="Times New Roman" w:eastAsia="宋体" w:cs="Times New Roman"/>
                <w:b w:val="0"/>
                <w:bCs/>
                <w:i w:val="0"/>
                <w:iCs/>
                <w:color w:val="auto"/>
                <w:kern w:val="2"/>
                <w:sz w:val="20"/>
                <w:szCs w:val="20"/>
                <w:lang w:eastAsia="zh-CN"/>
              </w:rPr>
            </w:pPr>
            <w:r>
              <w:rPr>
                <w:rFonts w:hint="default" w:ascii="Times New Roman" w:hAnsi="Times New Roman" w:eastAsia="宋体" w:cs="Times New Roman"/>
                <w:b w:val="0"/>
                <w:bCs/>
                <w:i w:val="0"/>
                <w:iCs/>
                <w:color w:val="auto"/>
                <w:kern w:val="2"/>
                <w:sz w:val="20"/>
                <w:szCs w:val="20"/>
                <w:lang w:eastAsia="zh-CN"/>
              </w:rPr>
              <w:t>Alt.3: Beam pair prediction (a beam pair consists of a DL Tx beam and a corresponding DL Rx beam)</w:t>
            </w:r>
          </w:p>
          <w:p>
            <w:pPr>
              <w:keepNext w:val="0"/>
              <w:keepLines w:val="0"/>
              <w:pageBreakBefore w:val="0"/>
              <w:widowControl w:val="0"/>
              <w:numPr>
                <w:ilvl w:val="0"/>
                <w:numId w:val="6"/>
              </w:numPr>
              <w:kinsoku/>
              <w:wordWrap/>
              <w:overflowPunct/>
              <w:topLinePunct w:val="0"/>
              <w:autoSpaceDE/>
              <w:autoSpaceDN/>
              <w:bidi w:val="0"/>
              <w:adjustRightInd/>
              <w:snapToGrid w:val="0"/>
              <w:spacing w:before="95" w:beforeLines="30" w:after="109" w:afterLines="30" w:line="288" w:lineRule="auto"/>
              <w:jc w:val="both"/>
              <w:textAlignment w:val="auto"/>
              <w:rPr>
                <w:rFonts w:hint="default" w:ascii="Times New Roman" w:hAnsi="Times New Roman" w:eastAsia="宋体" w:cs="Times New Roman"/>
                <w:b w:val="0"/>
                <w:bCs/>
                <w:i w:val="0"/>
                <w:iCs/>
                <w:color w:val="auto"/>
                <w:kern w:val="2"/>
                <w:sz w:val="20"/>
                <w:szCs w:val="20"/>
                <w:lang w:eastAsia="zh-CN"/>
              </w:rPr>
            </w:pPr>
            <w:r>
              <w:rPr>
                <w:rFonts w:hint="default" w:ascii="Times New Roman" w:hAnsi="Times New Roman" w:eastAsia="宋体" w:cs="Times New Roman"/>
                <w:b w:val="0"/>
                <w:bCs/>
                <w:i w:val="0"/>
                <w:iCs/>
                <w:color w:val="auto"/>
                <w:kern w:val="2"/>
                <w:sz w:val="20"/>
                <w:szCs w:val="20"/>
                <w:lang w:eastAsia="zh-CN"/>
              </w:rPr>
              <w:t>Note1: DL Rx beam prediction may or may not have spec impac</w:t>
            </w:r>
            <w:r>
              <w:rPr>
                <w:rFonts w:hint="default" w:ascii="Times New Roman" w:hAnsi="Times New Roman" w:eastAsia="宋体" w:cs="Times New Roman"/>
                <w:b w:val="0"/>
                <w:bCs/>
                <w:i w:val="0"/>
                <w:iCs/>
                <w:color w:val="auto"/>
                <w:kern w:val="2"/>
                <w:sz w:val="20"/>
                <w:szCs w:val="20"/>
                <w:lang w:val="en-US" w:eastAsia="zh-CN"/>
              </w:rPr>
              <w:t>t</w:t>
            </w:r>
          </w:p>
          <w:p>
            <w:pPr>
              <w:pStyle w:val="99"/>
              <w:keepNext w:val="0"/>
              <w:keepLines w:val="0"/>
              <w:pageBreakBefore w:val="0"/>
              <w:widowControl w:val="0"/>
              <w:numPr>
                <w:ilvl w:val="0"/>
                <w:numId w:val="0"/>
              </w:numPr>
              <w:kinsoku/>
              <w:wordWrap/>
              <w:overflowPunct/>
              <w:topLinePunct w:val="0"/>
              <w:autoSpaceDE/>
              <w:autoSpaceDN/>
              <w:bidi w:val="0"/>
              <w:adjustRightInd/>
              <w:snapToGrid w:val="0"/>
              <w:spacing w:before="95" w:beforeLines="30" w:after="109" w:afterLines="30" w:line="288" w:lineRule="auto"/>
              <w:contextualSpacing/>
              <w:textAlignment w:val="auto"/>
              <w:rPr>
                <w:rFonts w:hint="default" w:ascii="Times New Roman" w:hAnsi="Times New Roman" w:eastAsia="宋体" w:cs="Times New Roman"/>
                <w:b w:val="0"/>
                <w:bCs/>
                <w:i w:val="0"/>
                <w:iCs/>
                <w:color w:val="auto"/>
                <w:kern w:val="2"/>
                <w:sz w:val="20"/>
                <w:szCs w:val="20"/>
                <w:lang w:eastAsia="zh-CN"/>
              </w:rPr>
            </w:pPr>
          </w:p>
          <w:p>
            <w:pPr>
              <w:keepNext w:val="0"/>
              <w:keepLines w:val="0"/>
              <w:pageBreakBefore w:val="0"/>
              <w:widowControl w:val="0"/>
              <w:kinsoku/>
              <w:wordWrap/>
              <w:overflowPunct/>
              <w:topLinePunct w:val="0"/>
              <w:autoSpaceDE/>
              <w:autoSpaceDN/>
              <w:bidi w:val="0"/>
              <w:adjustRightInd/>
              <w:snapToGrid w:val="0"/>
              <w:spacing w:before="95" w:beforeLines="30" w:after="109" w:afterLines="30" w:line="288" w:lineRule="auto"/>
              <w:jc w:val="both"/>
              <w:textAlignment w:val="auto"/>
              <w:rPr>
                <w:rFonts w:hint="default" w:ascii="Times New Roman" w:hAnsi="Times New Roman" w:eastAsia="宋体" w:cs="Times New Roman"/>
                <w:b/>
                <w:bCs w:val="0"/>
                <w:i w:val="0"/>
                <w:iCs/>
                <w:color w:val="auto"/>
                <w:kern w:val="2"/>
                <w:sz w:val="20"/>
                <w:szCs w:val="20"/>
                <w:highlight w:val="none"/>
                <w:lang w:eastAsia="zh-CN"/>
              </w:rPr>
            </w:pPr>
            <w:r>
              <w:rPr>
                <w:rFonts w:hint="default" w:ascii="Times New Roman" w:hAnsi="Times New Roman" w:eastAsia="宋体" w:cs="Times New Roman"/>
                <w:b/>
                <w:bCs w:val="0"/>
                <w:i w:val="0"/>
                <w:iCs/>
                <w:color w:val="auto"/>
                <w:kern w:val="2"/>
                <w:sz w:val="20"/>
                <w:szCs w:val="20"/>
                <w:highlight w:val="none"/>
                <w:lang w:eastAsia="zh-CN"/>
              </w:rPr>
              <w:t>Agreement</w:t>
            </w:r>
            <w:r>
              <w:rPr>
                <w:rFonts w:hint="eastAsia" w:cs="Times New Roman"/>
                <w:b/>
                <w:bCs w:val="0"/>
                <w:i w:val="0"/>
                <w:iCs/>
                <w:color w:val="auto"/>
                <w:kern w:val="2"/>
                <w:sz w:val="20"/>
                <w:szCs w:val="20"/>
                <w:highlight w:val="none"/>
                <w:lang w:val="en-US" w:eastAsia="zh-CN"/>
              </w:rPr>
              <w:t>:</w:t>
            </w:r>
            <w:r>
              <w:rPr>
                <w:rFonts w:hint="default" w:ascii="Times New Roman" w:hAnsi="Times New Roman" w:eastAsia="宋体" w:cs="Times New Roman"/>
                <w:b/>
                <w:bCs w:val="0"/>
                <w:i w:val="0"/>
                <w:iCs/>
                <w:color w:val="auto"/>
                <w:kern w:val="2"/>
                <w:sz w:val="20"/>
                <w:szCs w:val="20"/>
                <w:highlight w:val="none"/>
                <w:lang w:eastAsia="zh-CN"/>
              </w:rPr>
              <w:t xml:space="preserve"> </w:t>
            </w:r>
          </w:p>
          <w:p>
            <w:pPr>
              <w:keepNext w:val="0"/>
              <w:keepLines w:val="0"/>
              <w:pageBreakBefore w:val="0"/>
              <w:widowControl w:val="0"/>
              <w:kinsoku/>
              <w:wordWrap/>
              <w:overflowPunct/>
              <w:topLinePunct w:val="0"/>
              <w:autoSpaceDE/>
              <w:autoSpaceDN/>
              <w:bidi w:val="0"/>
              <w:adjustRightInd/>
              <w:snapToGrid w:val="0"/>
              <w:spacing w:before="95" w:beforeLines="30" w:after="109" w:afterLines="30" w:line="288" w:lineRule="auto"/>
              <w:textAlignment w:val="auto"/>
              <w:rPr>
                <w:rFonts w:hint="default" w:ascii="Times New Roman" w:hAnsi="Times New Roman" w:cs="Times New Roman"/>
                <w:b w:val="0"/>
                <w:bCs/>
                <w:i w:val="0"/>
                <w:iCs/>
                <w:color w:val="auto"/>
                <w:sz w:val="20"/>
                <w:szCs w:val="20"/>
              </w:rPr>
            </w:pPr>
            <w:r>
              <w:rPr>
                <w:rFonts w:hint="default" w:ascii="Times New Roman" w:hAnsi="Times New Roman" w:cs="Times New Roman"/>
                <w:b w:val="0"/>
                <w:bCs/>
                <w:i w:val="0"/>
                <w:iCs/>
                <w:color w:val="auto"/>
                <w:sz w:val="20"/>
                <w:szCs w:val="20"/>
              </w:rPr>
              <w:t>For the sub use case BM-Case1, support the following alternatives for further study:</w:t>
            </w:r>
          </w:p>
          <w:p>
            <w:pPr>
              <w:keepNext w:val="0"/>
              <w:keepLines w:val="0"/>
              <w:pageBreakBefore w:val="0"/>
              <w:widowControl w:val="0"/>
              <w:numPr>
                <w:ilvl w:val="0"/>
                <w:numId w:val="7"/>
              </w:numPr>
              <w:kinsoku/>
              <w:wordWrap/>
              <w:overflowPunct w:val="0"/>
              <w:topLinePunct w:val="0"/>
              <w:autoSpaceDE w:val="0"/>
              <w:autoSpaceDN w:val="0"/>
              <w:bidi w:val="0"/>
              <w:adjustRightInd w:val="0"/>
              <w:snapToGrid w:val="0"/>
              <w:spacing w:before="95" w:beforeLines="30" w:after="109" w:afterLines="30" w:line="288" w:lineRule="auto"/>
              <w:contextualSpacing/>
              <w:textAlignment w:val="baseline"/>
              <w:rPr>
                <w:rFonts w:hint="default" w:ascii="Times New Roman" w:hAnsi="Times New Roman" w:eastAsia="宋体" w:cs="Times New Roman"/>
                <w:b w:val="0"/>
                <w:bCs/>
                <w:i w:val="0"/>
                <w:iCs/>
                <w:color w:val="auto"/>
                <w:sz w:val="20"/>
                <w:szCs w:val="20"/>
                <w:lang w:eastAsia="ja-JP"/>
              </w:rPr>
            </w:pPr>
            <w:r>
              <w:rPr>
                <w:rFonts w:hint="default" w:ascii="Times New Roman" w:hAnsi="Times New Roman" w:eastAsia="宋体" w:cs="Times New Roman"/>
                <w:b w:val="0"/>
                <w:bCs/>
                <w:i w:val="0"/>
                <w:iCs/>
                <w:color w:val="auto"/>
                <w:sz w:val="20"/>
                <w:szCs w:val="20"/>
                <w:lang w:eastAsia="ja-JP"/>
              </w:rPr>
              <w:t>Alt.1: Set A and Set B are different (Set B is NOT a subset of Set A)</w:t>
            </w:r>
          </w:p>
          <w:p>
            <w:pPr>
              <w:keepNext w:val="0"/>
              <w:keepLines w:val="0"/>
              <w:pageBreakBefore w:val="0"/>
              <w:widowControl w:val="0"/>
              <w:numPr>
                <w:ilvl w:val="0"/>
                <w:numId w:val="7"/>
              </w:numPr>
              <w:kinsoku/>
              <w:wordWrap/>
              <w:overflowPunct w:val="0"/>
              <w:topLinePunct w:val="0"/>
              <w:autoSpaceDE w:val="0"/>
              <w:autoSpaceDN w:val="0"/>
              <w:bidi w:val="0"/>
              <w:adjustRightInd w:val="0"/>
              <w:snapToGrid w:val="0"/>
              <w:spacing w:before="95" w:beforeLines="30" w:after="109" w:afterLines="30" w:line="288" w:lineRule="auto"/>
              <w:contextualSpacing/>
              <w:textAlignment w:val="baseline"/>
              <w:rPr>
                <w:rFonts w:hint="default" w:ascii="Times New Roman" w:hAnsi="Times New Roman" w:eastAsia="宋体" w:cs="Times New Roman"/>
                <w:b w:val="0"/>
                <w:bCs/>
                <w:i w:val="0"/>
                <w:iCs/>
                <w:color w:val="auto"/>
                <w:sz w:val="20"/>
                <w:szCs w:val="20"/>
                <w:lang w:eastAsia="ja-JP"/>
              </w:rPr>
            </w:pPr>
            <w:r>
              <w:rPr>
                <w:rFonts w:hint="default" w:ascii="Times New Roman" w:hAnsi="Times New Roman" w:eastAsia="宋体" w:cs="Times New Roman"/>
                <w:b w:val="0"/>
                <w:bCs/>
                <w:i w:val="0"/>
                <w:iCs/>
                <w:color w:val="auto"/>
                <w:sz w:val="20"/>
                <w:szCs w:val="20"/>
                <w:lang w:eastAsia="ja-JP"/>
              </w:rPr>
              <w:t>Alt.2: Set B is a subset of Set A</w:t>
            </w:r>
          </w:p>
          <w:p>
            <w:pPr>
              <w:keepNext w:val="0"/>
              <w:keepLines w:val="0"/>
              <w:pageBreakBefore w:val="0"/>
              <w:widowControl w:val="0"/>
              <w:numPr>
                <w:ilvl w:val="0"/>
                <w:numId w:val="7"/>
              </w:numPr>
              <w:kinsoku/>
              <w:wordWrap/>
              <w:overflowPunct w:val="0"/>
              <w:topLinePunct w:val="0"/>
              <w:autoSpaceDE w:val="0"/>
              <w:autoSpaceDN w:val="0"/>
              <w:bidi w:val="0"/>
              <w:adjustRightInd w:val="0"/>
              <w:snapToGrid w:val="0"/>
              <w:spacing w:before="95" w:beforeLines="30" w:after="109" w:afterLines="30" w:line="288" w:lineRule="auto"/>
              <w:contextualSpacing/>
              <w:textAlignment w:val="baseline"/>
              <w:rPr>
                <w:rFonts w:hint="default" w:ascii="Times New Roman" w:hAnsi="Times New Roman" w:eastAsia="宋体" w:cs="Times New Roman"/>
                <w:b w:val="0"/>
                <w:bCs/>
                <w:i w:val="0"/>
                <w:iCs/>
                <w:color w:val="auto"/>
                <w:sz w:val="20"/>
                <w:szCs w:val="20"/>
                <w:lang w:eastAsia="ja-JP"/>
              </w:rPr>
            </w:pPr>
            <w:r>
              <w:rPr>
                <w:rFonts w:hint="default" w:ascii="Times New Roman" w:hAnsi="Times New Roman" w:eastAsia="宋体" w:cs="Times New Roman"/>
                <w:b w:val="0"/>
                <w:bCs/>
                <w:i w:val="0"/>
                <w:iCs/>
                <w:color w:val="auto"/>
                <w:sz w:val="20"/>
                <w:szCs w:val="20"/>
                <w:lang w:eastAsia="ja-JP"/>
              </w:rPr>
              <w:t>Note1: Set A is for DL beam prediction and Set B is for DL beam measurement.</w:t>
            </w:r>
          </w:p>
          <w:p>
            <w:pPr>
              <w:keepNext w:val="0"/>
              <w:keepLines w:val="0"/>
              <w:pageBreakBefore w:val="0"/>
              <w:widowControl w:val="0"/>
              <w:numPr>
                <w:ilvl w:val="0"/>
                <w:numId w:val="7"/>
              </w:numPr>
              <w:kinsoku/>
              <w:wordWrap/>
              <w:overflowPunct w:val="0"/>
              <w:topLinePunct w:val="0"/>
              <w:autoSpaceDE w:val="0"/>
              <w:autoSpaceDN w:val="0"/>
              <w:bidi w:val="0"/>
              <w:adjustRightInd w:val="0"/>
              <w:snapToGrid w:val="0"/>
              <w:spacing w:before="95" w:beforeLines="30" w:after="109" w:afterLines="30" w:line="288" w:lineRule="auto"/>
              <w:contextualSpacing/>
              <w:textAlignment w:val="baseline"/>
              <w:rPr>
                <w:rFonts w:hint="default" w:ascii="Times New Roman" w:hAnsi="Times New Roman" w:eastAsia="宋体" w:cs="Times New Roman"/>
                <w:b w:val="0"/>
                <w:bCs/>
                <w:i w:val="0"/>
                <w:iCs/>
                <w:color w:val="auto"/>
                <w:sz w:val="20"/>
                <w:szCs w:val="20"/>
                <w:lang w:eastAsia="ja-JP"/>
              </w:rPr>
            </w:pPr>
            <w:r>
              <w:rPr>
                <w:rFonts w:hint="default" w:ascii="Times New Roman" w:hAnsi="Times New Roman" w:eastAsia="宋体" w:cs="Times New Roman"/>
                <w:b w:val="0"/>
                <w:bCs/>
                <w:i w:val="0"/>
                <w:iCs/>
                <w:color w:val="auto"/>
                <w:sz w:val="20"/>
                <w:szCs w:val="20"/>
                <w:lang w:eastAsia="ja-JP"/>
              </w:rPr>
              <w:t>Note2: The beam patterns of Set A and Set B can be clarified by the companies.</w:t>
            </w:r>
          </w:p>
          <w:p>
            <w:pPr>
              <w:keepNext w:val="0"/>
              <w:keepLines w:val="0"/>
              <w:pageBreakBefore w:val="0"/>
              <w:widowControl w:val="0"/>
              <w:kinsoku/>
              <w:wordWrap/>
              <w:overflowPunct/>
              <w:topLinePunct w:val="0"/>
              <w:autoSpaceDE/>
              <w:autoSpaceDN/>
              <w:bidi w:val="0"/>
              <w:adjustRightInd/>
              <w:snapToGrid w:val="0"/>
              <w:spacing w:before="95" w:beforeLines="30" w:after="109" w:afterLines="30" w:line="288" w:lineRule="auto"/>
              <w:jc w:val="both"/>
              <w:textAlignment w:val="auto"/>
              <w:rPr>
                <w:rFonts w:hint="default" w:ascii="Times New Roman" w:hAnsi="Times New Roman" w:eastAsia="宋体" w:cs="Times New Roman"/>
                <w:b w:val="0"/>
                <w:bCs/>
                <w:i w:val="0"/>
                <w:iCs/>
                <w:color w:val="auto"/>
                <w:kern w:val="2"/>
                <w:sz w:val="20"/>
                <w:szCs w:val="20"/>
                <w:highlight w:val="green"/>
                <w:lang w:eastAsia="zh-CN"/>
              </w:rPr>
            </w:pPr>
          </w:p>
          <w:p>
            <w:pPr>
              <w:keepNext w:val="0"/>
              <w:keepLines w:val="0"/>
              <w:pageBreakBefore w:val="0"/>
              <w:widowControl w:val="0"/>
              <w:kinsoku/>
              <w:wordWrap/>
              <w:overflowPunct/>
              <w:topLinePunct w:val="0"/>
              <w:autoSpaceDE/>
              <w:autoSpaceDN/>
              <w:bidi w:val="0"/>
              <w:adjustRightInd/>
              <w:snapToGrid w:val="0"/>
              <w:spacing w:before="95" w:beforeLines="30" w:after="109" w:afterLines="30" w:line="288" w:lineRule="auto"/>
              <w:jc w:val="both"/>
              <w:textAlignment w:val="auto"/>
              <w:rPr>
                <w:rFonts w:hint="default" w:ascii="Times New Roman" w:hAnsi="Times New Roman" w:eastAsia="宋体" w:cs="Times New Roman"/>
                <w:b/>
                <w:bCs w:val="0"/>
                <w:i w:val="0"/>
                <w:iCs/>
                <w:color w:val="auto"/>
                <w:kern w:val="2"/>
                <w:sz w:val="20"/>
                <w:szCs w:val="20"/>
                <w:highlight w:val="none"/>
                <w:lang w:eastAsia="zh-CN"/>
              </w:rPr>
            </w:pPr>
            <w:r>
              <w:rPr>
                <w:rFonts w:hint="default" w:ascii="Times New Roman" w:hAnsi="Times New Roman" w:eastAsia="宋体" w:cs="Times New Roman"/>
                <w:b/>
                <w:bCs w:val="0"/>
                <w:i w:val="0"/>
                <w:iCs/>
                <w:color w:val="auto"/>
                <w:kern w:val="2"/>
                <w:sz w:val="20"/>
                <w:szCs w:val="20"/>
                <w:highlight w:val="none"/>
                <w:lang w:eastAsia="zh-CN"/>
              </w:rPr>
              <w:t>Agreement</w:t>
            </w:r>
            <w:r>
              <w:rPr>
                <w:rFonts w:hint="eastAsia" w:cs="Times New Roman"/>
                <w:b/>
                <w:bCs w:val="0"/>
                <w:i w:val="0"/>
                <w:iCs/>
                <w:color w:val="auto"/>
                <w:kern w:val="2"/>
                <w:sz w:val="20"/>
                <w:szCs w:val="20"/>
                <w:highlight w:val="none"/>
                <w:lang w:val="en-US" w:eastAsia="zh-CN"/>
              </w:rPr>
              <w:t>:</w:t>
            </w:r>
            <w:r>
              <w:rPr>
                <w:rFonts w:hint="default" w:ascii="Times New Roman" w:hAnsi="Times New Roman" w:eastAsia="宋体" w:cs="Times New Roman"/>
                <w:b/>
                <w:bCs w:val="0"/>
                <w:i w:val="0"/>
                <w:iCs/>
                <w:color w:val="auto"/>
                <w:kern w:val="2"/>
                <w:sz w:val="20"/>
                <w:szCs w:val="20"/>
                <w:highlight w:val="none"/>
                <w:lang w:eastAsia="zh-CN"/>
              </w:rPr>
              <w:t xml:space="preserve"> </w:t>
            </w:r>
          </w:p>
          <w:p>
            <w:pPr>
              <w:keepNext w:val="0"/>
              <w:keepLines w:val="0"/>
              <w:pageBreakBefore w:val="0"/>
              <w:widowControl w:val="0"/>
              <w:kinsoku/>
              <w:wordWrap/>
              <w:topLinePunct w:val="0"/>
              <w:bidi w:val="0"/>
              <w:snapToGrid w:val="0"/>
              <w:spacing w:before="95" w:beforeLines="30" w:after="109" w:afterLines="30" w:line="288" w:lineRule="auto"/>
              <w:rPr>
                <w:rFonts w:hint="default" w:ascii="Times New Roman" w:hAnsi="Times New Roman" w:cs="Times New Roman"/>
                <w:b w:val="0"/>
                <w:bCs/>
                <w:i w:val="0"/>
                <w:iCs/>
                <w:color w:val="auto"/>
                <w:sz w:val="20"/>
                <w:szCs w:val="20"/>
              </w:rPr>
            </w:pPr>
            <w:r>
              <w:rPr>
                <w:rFonts w:hint="default" w:ascii="Times New Roman" w:hAnsi="Times New Roman" w:cs="Times New Roman"/>
                <w:b w:val="0"/>
                <w:bCs/>
                <w:i w:val="0"/>
                <w:iCs/>
                <w:color w:val="auto"/>
                <w:sz w:val="20"/>
                <w:szCs w:val="20"/>
              </w:rPr>
              <w:t>For the sub use case BM-Case2, further study the following alternatives:</w:t>
            </w:r>
          </w:p>
          <w:p>
            <w:pPr>
              <w:keepNext w:val="0"/>
              <w:keepLines w:val="0"/>
              <w:pageBreakBefore w:val="0"/>
              <w:widowControl w:val="0"/>
              <w:numPr>
                <w:ilvl w:val="0"/>
                <w:numId w:val="8"/>
              </w:numPr>
              <w:kinsoku/>
              <w:wordWrap/>
              <w:overflowPunct w:val="0"/>
              <w:topLinePunct w:val="0"/>
              <w:autoSpaceDE w:val="0"/>
              <w:autoSpaceDN w:val="0"/>
              <w:bidi w:val="0"/>
              <w:adjustRightInd w:val="0"/>
              <w:snapToGrid w:val="0"/>
              <w:spacing w:before="95" w:beforeLines="30" w:after="109" w:afterLines="30" w:line="288" w:lineRule="auto"/>
              <w:contextualSpacing/>
              <w:textAlignment w:val="baseline"/>
              <w:rPr>
                <w:rFonts w:hint="default" w:ascii="Times New Roman" w:hAnsi="Times New Roman" w:eastAsia="宋体" w:cs="Times New Roman"/>
                <w:b w:val="0"/>
                <w:bCs/>
                <w:i w:val="0"/>
                <w:iCs/>
                <w:color w:val="auto"/>
                <w:sz w:val="20"/>
                <w:szCs w:val="20"/>
                <w:lang w:eastAsia="ja-JP"/>
              </w:rPr>
            </w:pPr>
            <w:r>
              <w:rPr>
                <w:rFonts w:hint="default" w:ascii="Times New Roman" w:hAnsi="Times New Roman" w:eastAsia="宋体" w:cs="Times New Roman"/>
                <w:b w:val="0"/>
                <w:bCs/>
                <w:i w:val="0"/>
                <w:iCs/>
                <w:color w:val="auto"/>
                <w:sz w:val="20"/>
                <w:szCs w:val="20"/>
                <w:lang w:eastAsia="ja-JP"/>
              </w:rPr>
              <w:t>Alt.1: Set A and Set B are different (Set B is NOT a subset of Set A)</w:t>
            </w:r>
          </w:p>
          <w:p>
            <w:pPr>
              <w:keepNext w:val="0"/>
              <w:keepLines w:val="0"/>
              <w:pageBreakBefore w:val="0"/>
              <w:widowControl w:val="0"/>
              <w:numPr>
                <w:ilvl w:val="0"/>
                <w:numId w:val="8"/>
              </w:numPr>
              <w:kinsoku/>
              <w:wordWrap/>
              <w:overflowPunct w:val="0"/>
              <w:topLinePunct w:val="0"/>
              <w:autoSpaceDE w:val="0"/>
              <w:autoSpaceDN w:val="0"/>
              <w:bidi w:val="0"/>
              <w:adjustRightInd w:val="0"/>
              <w:snapToGrid w:val="0"/>
              <w:spacing w:before="95" w:beforeLines="30" w:after="109" w:afterLines="30" w:line="288" w:lineRule="auto"/>
              <w:contextualSpacing/>
              <w:textAlignment w:val="baseline"/>
              <w:rPr>
                <w:rFonts w:hint="default" w:ascii="Times New Roman" w:hAnsi="Times New Roman" w:eastAsia="宋体" w:cs="Times New Roman"/>
                <w:b w:val="0"/>
                <w:bCs/>
                <w:i w:val="0"/>
                <w:iCs/>
                <w:color w:val="auto"/>
                <w:sz w:val="20"/>
                <w:szCs w:val="20"/>
                <w:lang w:eastAsia="ja-JP"/>
              </w:rPr>
            </w:pPr>
            <w:r>
              <w:rPr>
                <w:rFonts w:hint="default" w:ascii="Times New Roman" w:hAnsi="Times New Roman" w:eastAsia="宋体" w:cs="Times New Roman"/>
                <w:b w:val="0"/>
                <w:bCs/>
                <w:i w:val="0"/>
                <w:iCs/>
                <w:color w:val="auto"/>
                <w:sz w:val="20"/>
                <w:szCs w:val="20"/>
                <w:lang w:eastAsia="ja-JP"/>
              </w:rPr>
              <w:t>Alt.2: Set B is a subset of Set A (Set A and Set B are not the same)</w:t>
            </w:r>
          </w:p>
          <w:p>
            <w:pPr>
              <w:keepNext w:val="0"/>
              <w:keepLines w:val="0"/>
              <w:pageBreakBefore w:val="0"/>
              <w:widowControl w:val="0"/>
              <w:numPr>
                <w:ilvl w:val="0"/>
                <w:numId w:val="8"/>
              </w:numPr>
              <w:kinsoku/>
              <w:wordWrap/>
              <w:overflowPunct w:val="0"/>
              <w:topLinePunct w:val="0"/>
              <w:autoSpaceDE w:val="0"/>
              <w:autoSpaceDN w:val="0"/>
              <w:bidi w:val="0"/>
              <w:adjustRightInd w:val="0"/>
              <w:snapToGrid w:val="0"/>
              <w:spacing w:before="95" w:beforeLines="30" w:after="109" w:afterLines="30" w:line="288" w:lineRule="auto"/>
              <w:contextualSpacing/>
              <w:textAlignment w:val="baseline"/>
              <w:rPr>
                <w:rFonts w:hint="default" w:ascii="Times New Roman" w:hAnsi="Times New Roman" w:eastAsia="宋体" w:cs="Times New Roman"/>
                <w:b w:val="0"/>
                <w:bCs/>
                <w:i w:val="0"/>
                <w:iCs/>
                <w:color w:val="auto"/>
                <w:sz w:val="20"/>
                <w:szCs w:val="20"/>
                <w:lang w:eastAsia="ja-JP"/>
              </w:rPr>
            </w:pPr>
            <w:r>
              <w:rPr>
                <w:rFonts w:hint="default" w:ascii="Times New Roman" w:hAnsi="Times New Roman" w:eastAsia="宋体" w:cs="Times New Roman"/>
                <w:b w:val="0"/>
                <w:bCs/>
                <w:i w:val="0"/>
                <w:iCs/>
                <w:color w:val="auto"/>
                <w:sz w:val="20"/>
                <w:szCs w:val="20"/>
                <w:lang w:eastAsia="ja-JP"/>
              </w:rPr>
              <w:t>Alt.3: Set A and Set B are the same</w:t>
            </w:r>
          </w:p>
          <w:p>
            <w:pPr>
              <w:keepNext w:val="0"/>
              <w:keepLines w:val="0"/>
              <w:pageBreakBefore w:val="0"/>
              <w:widowControl w:val="0"/>
              <w:numPr>
                <w:ilvl w:val="0"/>
                <w:numId w:val="8"/>
              </w:numPr>
              <w:kinsoku/>
              <w:wordWrap/>
              <w:overflowPunct w:val="0"/>
              <w:topLinePunct w:val="0"/>
              <w:autoSpaceDE w:val="0"/>
              <w:autoSpaceDN w:val="0"/>
              <w:bidi w:val="0"/>
              <w:adjustRightInd w:val="0"/>
              <w:snapToGrid w:val="0"/>
              <w:spacing w:before="95" w:beforeLines="30" w:after="109" w:afterLines="30" w:line="288" w:lineRule="auto"/>
              <w:contextualSpacing/>
              <w:textAlignment w:val="baseline"/>
              <w:rPr>
                <w:rFonts w:hint="default" w:ascii="Times New Roman" w:hAnsi="Times New Roman" w:eastAsia="宋体" w:cs="Times New Roman"/>
                <w:b w:val="0"/>
                <w:bCs/>
                <w:i w:val="0"/>
                <w:iCs/>
                <w:color w:val="auto"/>
                <w:sz w:val="20"/>
                <w:szCs w:val="20"/>
                <w:lang w:eastAsia="ja-JP"/>
              </w:rPr>
            </w:pPr>
            <w:r>
              <w:rPr>
                <w:rFonts w:hint="default" w:ascii="Times New Roman" w:hAnsi="Times New Roman" w:eastAsia="宋体" w:cs="Times New Roman"/>
                <w:b w:val="0"/>
                <w:bCs/>
                <w:i w:val="0"/>
                <w:iCs/>
                <w:color w:val="auto"/>
                <w:sz w:val="20"/>
                <w:szCs w:val="20"/>
                <w:lang w:eastAsia="ja-JP"/>
              </w:rPr>
              <w:t>Note1: The beam pattern of Set A and Set B can be clarified by the companies.</w:t>
            </w:r>
          </w:p>
          <w:p>
            <w:pPr>
              <w:keepNext w:val="0"/>
              <w:keepLines w:val="0"/>
              <w:pageBreakBefore w:val="0"/>
              <w:widowControl w:val="0"/>
              <w:kinsoku/>
              <w:wordWrap/>
              <w:overflowPunct/>
              <w:topLinePunct w:val="0"/>
              <w:autoSpaceDE/>
              <w:autoSpaceDN/>
              <w:bidi w:val="0"/>
              <w:adjustRightInd/>
              <w:snapToGrid w:val="0"/>
              <w:spacing w:before="95" w:beforeLines="30" w:after="109" w:afterLines="30" w:line="288" w:lineRule="auto"/>
              <w:jc w:val="both"/>
              <w:textAlignment w:val="auto"/>
              <w:rPr>
                <w:rFonts w:hint="default" w:ascii="Times New Roman" w:hAnsi="Times New Roman" w:eastAsia="宋体" w:cs="Times New Roman"/>
                <w:b w:val="0"/>
                <w:bCs/>
                <w:i w:val="0"/>
                <w:iCs/>
                <w:color w:val="auto"/>
                <w:kern w:val="2"/>
                <w:sz w:val="20"/>
                <w:szCs w:val="20"/>
                <w:highlight w:val="green"/>
                <w:lang w:eastAsia="zh-CN"/>
              </w:rPr>
            </w:pPr>
          </w:p>
          <w:p>
            <w:pPr>
              <w:keepNext w:val="0"/>
              <w:keepLines w:val="0"/>
              <w:pageBreakBefore w:val="0"/>
              <w:widowControl w:val="0"/>
              <w:kinsoku/>
              <w:wordWrap/>
              <w:overflowPunct/>
              <w:topLinePunct w:val="0"/>
              <w:autoSpaceDE/>
              <w:autoSpaceDN/>
              <w:bidi w:val="0"/>
              <w:adjustRightInd/>
              <w:snapToGrid w:val="0"/>
              <w:spacing w:before="95" w:beforeLines="30" w:after="109" w:afterLines="30" w:line="288" w:lineRule="auto"/>
              <w:jc w:val="both"/>
              <w:textAlignment w:val="auto"/>
              <w:rPr>
                <w:rFonts w:hint="default" w:ascii="Times New Roman" w:hAnsi="Times New Roman" w:eastAsia="宋体" w:cs="Times New Roman"/>
                <w:b/>
                <w:bCs w:val="0"/>
                <w:i w:val="0"/>
                <w:iCs/>
                <w:color w:val="auto"/>
                <w:kern w:val="2"/>
                <w:sz w:val="20"/>
                <w:szCs w:val="20"/>
                <w:highlight w:val="none"/>
                <w:lang w:eastAsia="zh-CN"/>
              </w:rPr>
            </w:pPr>
            <w:r>
              <w:rPr>
                <w:rFonts w:hint="default" w:ascii="Times New Roman" w:hAnsi="Times New Roman" w:eastAsia="宋体" w:cs="Times New Roman"/>
                <w:b/>
                <w:bCs w:val="0"/>
                <w:i w:val="0"/>
                <w:iCs/>
                <w:color w:val="auto"/>
                <w:kern w:val="2"/>
                <w:sz w:val="20"/>
                <w:szCs w:val="20"/>
                <w:highlight w:val="none"/>
                <w:lang w:eastAsia="zh-CN"/>
              </w:rPr>
              <w:t>Agreement</w:t>
            </w:r>
            <w:r>
              <w:rPr>
                <w:rFonts w:hint="eastAsia" w:cs="Times New Roman"/>
                <w:b/>
                <w:bCs w:val="0"/>
                <w:i w:val="0"/>
                <w:iCs/>
                <w:color w:val="auto"/>
                <w:kern w:val="2"/>
                <w:sz w:val="20"/>
                <w:szCs w:val="20"/>
                <w:highlight w:val="none"/>
                <w:lang w:val="en-US" w:eastAsia="zh-CN"/>
              </w:rPr>
              <w:t>:</w:t>
            </w:r>
            <w:r>
              <w:rPr>
                <w:rFonts w:hint="default" w:ascii="Times New Roman" w:hAnsi="Times New Roman" w:eastAsia="宋体" w:cs="Times New Roman"/>
                <w:b/>
                <w:bCs w:val="0"/>
                <w:i w:val="0"/>
                <w:iCs/>
                <w:color w:val="auto"/>
                <w:kern w:val="2"/>
                <w:sz w:val="20"/>
                <w:szCs w:val="20"/>
                <w:highlight w:val="none"/>
                <w:lang w:eastAsia="zh-CN"/>
              </w:rPr>
              <w:t xml:space="preserve"> </w:t>
            </w:r>
          </w:p>
          <w:p>
            <w:pPr>
              <w:keepNext w:val="0"/>
              <w:keepLines w:val="0"/>
              <w:pageBreakBefore w:val="0"/>
              <w:widowControl w:val="0"/>
              <w:kinsoku/>
              <w:wordWrap/>
              <w:overflowPunct/>
              <w:topLinePunct w:val="0"/>
              <w:autoSpaceDE w:val="0"/>
              <w:autoSpaceDN w:val="0"/>
              <w:bidi w:val="0"/>
              <w:adjustRightInd w:val="0"/>
              <w:snapToGrid w:val="0"/>
              <w:spacing w:before="95" w:beforeLines="30" w:after="109" w:afterLines="30" w:line="288" w:lineRule="auto"/>
              <w:jc w:val="both"/>
              <w:textAlignment w:val="auto"/>
              <w:rPr>
                <w:rFonts w:hint="default" w:ascii="Times New Roman" w:hAnsi="Times New Roman" w:eastAsia="宋体" w:cs="Times New Roman"/>
                <w:b w:val="0"/>
                <w:bCs/>
                <w:i w:val="0"/>
                <w:iCs/>
                <w:color w:val="auto"/>
                <w:sz w:val="20"/>
                <w:szCs w:val="20"/>
              </w:rPr>
            </w:pPr>
            <w:r>
              <w:rPr>
                <w:rFonts w:hint="default" w:ascii="Times New Roman" w:hAnsi="Times New Roman" w:eastAsia="宋体" w:cs="Times New Roman"/>
                <w:b w:val="0"/>
                <w:bCs/>
                <w:i w:val="0"/>
                <w:iCs/>
                <w:color w:val="auto"/>
                <w:sz w:val="20"/>
                <w:szCs w:val="20"/>
              </w:rPr>
              <w:t>Regarding the sub use case BM-Case1 and B</w:t>
            </w:r>
            <w:r>
              <w:rPr>
                <w:rFonts w:hint="default" w:ascii="Times New Roman" w:hAnsi="Times New Roman" w:cs="Times New Roman"/>
                <w:b w:val="0"/>
                <w:bCs/>
                <w:i w:val="0"/>
                <w:iCs/>
                <w:color w:val="auto"/>
                <w:sz w:val="20"/>
                <w:szCs w:val="20"/>
              </w:rPr>
              <w:t>M-Case2</w:t>
            </w:r>
            <w:r>
              <w:rPr>
                <w:rFonts w:hint="default" w:ascii="Times New Roman" w:hAnsi="Times New Roman" w:eastAsia="宋体" w:cs="Times New Roman"/>
                <w:b w:val="0"/>
                <w:bCs/>
                <w:i w:val="0"/>
                <w:iCs/>
                <w:color w:val="auto"/>
                <w:sz w:val="20"/>
                <w:szCs w:val="20"/>
              </w:rPr>
              <w:t>, study the following alternatives for AI/ML output:</w:t>
            </w:r>
          </w:p>
          <w:p>
            <w:pPr>
              <w:keepNext w:val="0"/>
              <w:keepLines w:val="0"/>
              <w:pageBreakBefore w:val="0"/>
              <w:widowControl w:val="0"/>
              <w:numPr>
                <w:ilvl w:val="0"/>
                <w:numId w:val="9"/>
              </w:numPr>
              <w:kinsoku/>
              <w:wordWrap/>
              <w:overflowPunct/>
              <w:topLinePunct w:val="0"/>
              <w:autoSpaceDE w:val="0"/>
              <w:autoSpaceDN w:val="0"/>
              <w:bidi w:val="0"/>
              <w:adjustRightInd w:val="0"/>
              <w:snapToGrid w:val="0"/>
              <w:spacing w:before="95" w:beforeLines="30" w:after="109" w:afterLines="30" w:line="288" w:lineRule="auto"/>
              <w:jc w:val="both"/>
              <w:textAlignment w:val="auto"/>
              <w:rPr>
                <w:rFonts w:hint="default" w:ascii="Times New Roman" w:hAnsi="Times New Roman" w:eastAsia="宋体" w:cs="Times New Roman"/>
                <w:b w:val="0"/>
                <w:bCs/>
                <w:i w:val="0"/>
                <w:iCs/>
                <w:color w:val="auto"/>
                <w:sz w:val="20"/>
                <w:szCs w:val="20"/>
              </w:rPr>
            </w:pPr>
            <w:r>
              <w:rPr>
                <w:rFonts w:hint="default" w:ascii="Times New Roman" w:hAnsi="Times New Roman" w:cs="Times New Roman"/>
                <w:b w:val="0"/>
                <w:bCs/>
                <w:i w:val="0"/>
                <w:iCs/>
                <w:color w:val="auto"/>
                <w:sz w:val="20"/>
                <w:szCs w:val="20"/>
              </w:rPr>
              <w:t xml:space="preserve">Alt.1: Tx and/or Rx Beam ID(s) and/or the predicted L1-RSRP of the N predicted DL Tx and/or Rx beams </w:t>
            </w:r>
          </w:p>
          <w:p>
            <w:pPr>
              <w:keepNext w:val="0"/>
              <w:keepLines w:val="0"/>
              <w:pageBreakBefore w:val="0"/>
              <w:widowControl w:val="0"/>
              <w:numPr>
                <w:ilvl w:val="1"/>
                <w:numId w:val="9"/>
              </w:numPr>
              <w:kinsoku/>
              <w:wordWrap/>
              <w:overflowPunct/>
              <w:topLinePunct w:val="0"/>
              <w:autoSpaceDE w:val="0"/>
              <w:autoSpaceDN w:val="0"/>
              <w:bidi w:val="0"/>
              <w:adjustRightInd w:val="0"/>
              <w:snapToGrid w:val="0"/>
              <w:spacing w:before="95" w:beforeLines="30" w:after="109" w:afterLines="30" w:line="288" w:lineRule="auto"/>
              <w:jc w:val="both"/>
              <w:textAlignment w:val="auto"/>
              <w:rPr>
                <w:rFonts w:hint="default" w:ascii="Times New Roman" w:hAnsi="Times New Roman" w:eastAsia="宋体" w:cs="Times New Roman"/>
                <w:b w:val="0"/>
                <w:bCs/>
                <w:i w:val="0"/>
                <w:iCs/>
                <w:color w:val="auto"/>
                <w:sz w:val="20"/>
                <w:szCs w:val="20"/>
              </w:rPr>
            </w:pPr>
            <w:r>
              <w:rPr>
                <w:rFonts w:hint="default" w:ascii="Times New Roman" w:hAnsi="Times New Roman" w:eastAsia="宋体" w:cs="Times New Roman"/>
                <w:b w:val="0"/>
                <w:bCs/>
                <w:i w:val="0"/>
                <w:iCs/>
                <w:color w:val="auto"/>
                <w:sz w:val="20"/>
                <w:szCs w:val="20"/>
              </w:rPr>
              <w:t>E.g., N predicted beams can be the top-N predicted beams</w:t>
            </w:r>
          </w:p>
          <w:p>
            <w:pPr>
              <w:keepNext w:val="0"/>
              <w:keepLines w:val="0"/>
              <w:pageBreakBefore w:val="0"/>
              <w:widowControl w:val="0"/>
              <w:numPr>
                <w:ilvl w:val="0"/>
                <w:numId w:val="9"/>
              </w:numPr>
              <w:kinsoku/>
              <w:wordWrap/>
              <w:overflowPunct/>
              <w:topLinePunct w:val="0"/>
              <w:autoSpaceDE w:val="0"/>
              <w:autoSpaceDN w:val="0"/>
              <w:bidi w:val="0"/>
              <w:adjustRightInd w:val="0"/>
              <w:snapToGrid w:val="0"/>
              <w:spacing w:before="95" w:beforeLines="30" w:after="109" w:afterLines="30" w:line="288" w:lineRule="auto"/>
              <w:jc w:val="both"/>
              <w:textAlignment w:val="auto"/>
              <w:rPr>
                <w:rFonts w:hint="default" w:ascii="Times New Roman" w:hAnsi="Times New Roman" w:eastAsia="宋体" w:cs="Times New Roman"/>
                <w:b w:val="0"/>
                <w:bCs/>
                <w:i w:val="0"/>
                <w:iCs/>
                <w:color w:val="auto"/>
                <w:sz w:val="20"/>
                <w:szCs w:val="20"/>
              </w:rPr>
            </w:pPr>
            <w:r>
              <w:rPr>
                <w:rFonts w:hint="default" w:ascii="Times New Roman" w:hAnsi="Times New Roman" w:cs="Times New Roman"/>
                <w:b w:val="0"/>
                <w:bCs/>
                <w:i w:val="0"/>
                <w:iCs/>
                <w:color w:val="auto"/>
                <w:sz w:val="20"/>
                <w:szCs w:val="20"/>
              </w:rPr>
              <w:t>Alt.2: Tx and/or Rx Beam ID(s) of the N predicted DL Tx and/or Rx beams and  other information</w:t>
            </w:r>
          </w:p>
          <w:p>
            <w:pPr>
              <w:keepNext w:val="0"/>
              <w:keepLines w:val="0"/>
              <w:pageBreakBefore w:val="0"/>
              <w:widowControl w:val="0"/>
              <w:numPr>
                <w:ilvl w:val="1"/>
                <w:numId w:val="9"/>
              </w:numPr>
              <w:kinsoku/>
              <w:wordWrap/>
              <w:overflowPunct/>
              <w:topLinePunct w:val="0"/>
              <w:autoSpaceDE w:val="0"/>
              <w:autoSpaceDN w:val="0"/>
              <w:bidi w:val="0"/>
              <w:adjustRightInd w:val="0"/>
              <w:snapToGrid w:val="0"/>
              <w:spacing w:before="95" w:beforeLines="30" w:after="109" w:afterLines="30" w:line="288" w:lineRule="auto"/>
              <w:jc w:val="both"/>
              <w:textAlignment w:val="auto"/>
              <w:rPr>
                <w:rFonts w:hint="default" w:ascii="Times New Roman" w:hAnsi="Times New Roman" w:eastAsia="宋体" w:cs="Times New Roman"/>
                <w:b w:val="0"/>
                <w:bCs/>
                <w:i w:val="0"/>
                <w:iCs/>
                <w:color w:val="auto"/>
                <w:sz w:val="20"/>
                <w:szCs w:val="20"/>
              </w:rPr>
            </w:pPr>
            <w:r>
              <w:rPr>
                <w:rFonts w:hint="default" w:ascii="Times New Roman" w:hAnsi="Times New Roman" w:eastAsia="宋体" w:cs="Times New Roman"/>
                <w:b w:val="0"/>
                <w:bCs/>
                <w:i w:val="0"/>
                <w:iCs/>
                <w:color w:val="auto"/>
                <w:sz w:val="20"/>
                <w:szCs w:val="20"/>
              </w:rPr>
              <w:t xml:space="preserve">FFS: other information (e.g., probability for the beam to be the best beam, </w:t>
            </w:r>
            <w:r>
              <w:rPr>
                <w:rFonts w:hint="default" w:ascii="Times New Roman" w:hAnsi="Times New Roman" w:cs="Times New Roman"/>
                <w:b w:val="0"/>
                <w:bCs/>
                <w:i w:val="0"/>
                <w:iCs/>
                <w:color w:val="auto"/>
                <w:sz w:val="20"/>
                <w:szCs w:val="20"/>
              </w:rPr>
              <w:t xml:space="preserve">the associated confidence, beam application time/dwelling time, Predicted Beam failure) </w:t>
            </w:r>
          </w:p>
          <w:p>
            <w:pPr>
              <w:keepNext w:val="0"/>
              <w:keepLines w:val="0"/>
              <w:pageBreakBefore w:val="0"/>
              <w:widowControl w:val="0"/>
              <w:numPr>
                <w:ilvl w:val="1"/>
                <w:numId w:val="9"/>
              </w:numPr>
              <w:kinsoku/>
              <w:wordWrap/>
              <w:overflowPunct/>
              <w:topLinePunct w:val="0"/>
              <w:autoSpaceDE w:val="0"/>
              <w:autoSpaceDN w:val="0"/>
              <w:bidi w:val="0"/>
              <w:adjustRightInd w:val="0"/>
              <w:snapToGrid w:val="0"/>
              <w:spacing w:before="95" w:beforeLines="30" w:after="109" w:afterLines="30" w:line="288" w:lineRule="auto"/>
              <w:jc w:val="both"/>
              <w:textAlignment w:val="auto"/>
              <w:rPr>
                <w:rFonts w:hint="default" w:ascii="Times New Roman" w:hAnsi="Times New Roman" w:eastAsia="宋体" w:cs="Times New Roman"/>
                <w:b w:val="0"/>
                <w:bCs/>
                <w:i w:val="0"/>
                <w:iCs/>
                <w:color w:val="auto"/>
                <w:sz w:val="20"/>
                <w:szCs w:val="20"/>
              </w:rPr>
            </w:pPr>
            <w:r>
              <w:rPr>
                <w:rFonts w:hint="default" w:ascii="Times New Roman" w:hAnsi="Times New Roman" w:eastAsia="宋体" w:cs="Times New Roman"/>
                <w:b w:val="0"/>
                <w:bCs/>
                <w:i w:val="0"/>
                <w:iCs/>
                <w:color w:val="auto"/>
                <w:sz w:val="20"/>
                <w:szCs w:val="20"/>
              </w:rPr>
              <w:t>E.g., N predicted beams can be the top-N predicted beams</w:t>
            </w:r>
          </w:p>
          <w:p>
            <w:pPr>
              <w:keepNext w:val="0"/>
              <w:keepLines w:val="0"/>
              <w:pageBreakBefore w:val="0"/>
              <w:widowControl w:val="0"/>
              <w:numPr>
                <w:ilvl w:val="0"/>
                <w:numId w:val="9"/>
              </w:numPr>
              <w:kinsoku/>
              <w:wordWrap/>
              <w:overflowPunct/>
              <w:topLinePunct w:val="0"/>
              <w:autoSpaceDE w:val="0"/>
              <w:autoSpaceDN w:val="0"/>
              <w:bidi w:val="0"/>
              <w:adjustRightInd w:val="0"/>
              <w:snapToGrid w:val="0"/>
              <w:spacing w:before="95" w:beforeLines="30" w:after="109" w:afterLines="30" w:line="288" w:lineRule="auto"/>
              <w:jc w:val="both"/>
              <w:textAlignment w:val="auto"/>
              <w:rPr>
                <w:rFonts w:hint="default" w:ascii="Times New Roman" w:hAnsi="Times New Roman" w:eastAsia="宋体" w:cs="Times New Roman"/>
                <w:b w:val="0"/>
                <w:bCs/>
                <w:i w:val="0"/>
                <w:iCs/>
                <w:color w:val="auto"/>
                <w:sz w:val="20"/>
                <w:szCs w:val="20"/>
              </w:rPr>
            </w:pPr>
            <w:r>
              <w:rPr>
                <w:rFonts w:hint="default" w:ascii="Times New Roman" w:hAnsi="Times New Roman" w:eastAsia="宋体" w:cs="Times New Roman"/>
                <w:b w:val="0"/>
                <w:bCs/>
                <w:i w:val="0"/>
                <w:iCs/>
                <w:color w:val="auto"/>
                <w:sz w:val="20"/>
                <w:szCs w:val="20"/>
              </w:rPr>
              <w:t xml:space="preserve">Alt.3: </w:t>
            </w:r>
            <w:r>
              <w:rPr>
                <w:rFonts w:hint="default" w:ascii="Times New Roman" w:hAnsi="Times New Roman" w:cs="Times New Roman"/>
                <w:b w:val="0"/>
                <w:bCs/>
                <w:i w:val="0"/>
                <w:iCs/>
                <w:color w:val="auto"/>
                <w:sz w:val="20"/>
                <w:szCs w:val="20"/>
              </w:rPr>
              <w:t xml:space="preserve">Tx and/or Rx Beam angle(s) </w:t>
            </w:r>
            <w:r>
              <w:rPr>
                <w:rFonts w:hint="default" w:ascii="Times New Roman" w:hAnsi="Times New Roman" w:eastAsia="宋体" w:cs="Times New Roman"/>
                <w:b w:val="0"/>
                <w:bCs/>
                <w:i w:val="0"/>
                <w:iCs/>
                <w:color w:val="auto"/>
                <w:sz w:val="20"/>
                <w:szCs w:val="20"/>
              </w:rPr>
              <w:t xml:space="preserve">and/or the predicted L1-RSRP </w:t>
            </w:r>
            <w:r>
              <w:rPr>
                <w:rFonts w:hint="default" w:ascii="Times New Roman" w:hAnsi="Times New Roman" w:cs="Times New Roman"/>
                <w:b w:val="0"/>
                <w:bCs/>
                <w:i w:val="0"/>
                <w:iCs/>
                <w:color w:val="auto"/>
                <w:sz w:val="20"/>
                <w:szCs w:val="20"/>
              </w:rPr>
              <w:t>of the N predicted DL Tx and/or Rx beams</w:t>
            </w:r>
          </w:p>
          <w:p>
            <w:pPr>
              <w:keepNext w:val="0"/>
              <w:keepLines w:val="0"/>
              <w:pageBreakBefore w:val="0"/>
              <w:widowControl w:val="0"/>
              <w:numPr>
                <w:ilvl w:val="1"/>
                <w:numId w:val="9"/>
              </w:numPr>
              <w:kinsoku/>
              <w:wordWrap/>
              <w:overflowPunct/>
              <w:topLinePunct w:val="0"/>
              <w:autoSpaceDE w:val="0"/>
              <w:autoSpaceDN w:val="0"/>
              <w:bidi w:val="0"/>
              <w:adjustRightInd w:val="0"/>
              <w:snapToGrid w:val="0"/>
              <w:spacing w:before="95" w:beforeLines="30" w:after="109" w:afterLines="30" w:line="288" w:lineRule="auto"/>
              <w:jc w:val="both"/>
              <w:textAlignment w:val="auto"/>
              <w:rPr>
                <w:rFonts w:hint="default" w:ascii="Times New Roman" w:hAnsi="Times New Roman" w:eastAsia="宋体" w:cs="Times New Roman"/>
                <w:b w:val="0"/>
                <w:bCs/>
                <w:i w:val="0"/>
                <w:iCs/>
                <w:color w:val="auto"/>
                <w:sz w:val="20"/>
                <w:szCs w:val="20"/>
              </w:rPr>
            </w:pPr>
            <w:r>
              <w:rPr>
                <w:rFonts w:hint="default" w:ascii="Times New Roman" w:hAnsi="Times New Roman" w:eastAsia="宋体" w:cs="Times New Roman"/>
                <w:b w:val="0"/>
                <w:bCs/>
                <w:i w:val="0"/>
                <w:iCs/>
                <w:color w:val="auto"/>
                <w:sz w:val="20"/>
                <w:szCs w:val="20"/>
              </w:rPr>
              <w:t>E.g., N predicted beams can be the top-N predicted beams</w:t>
            </w:r>
          </w:p>
          <w:p>
            <w:pPr>
              <w:keepNext w:val="0"/>
              <w:keepLines w:val="0"/>
              <w:pageBreakBefore w:val="0"/>
              <w:widowControl w:val="0"/>
              <w:numPr>
                <w:ilvl w:val="1"/>
                <w:numId w:val="9"/>
              </w:numPr>
              <w:kinsoku/>
              <w:wordWrap/>
              <w:overflowPunct/>
              <w:topLinePunct w:val="0"/>
              <w:autoSpaceDE w:val="0"/>
              <w:autoSpaceDN w:val="0"/>
              <w:bidi w:val="0"/>
              <w:adjustRightInd w:val="0"/>
              <w:snapToGrid w:val="0"/>
              <w:spacing w:before="95" w:beforeLines="30" w:after="109" w:afterLines="30" w:line="288" w:lineRule="auto"/>
              <w:jc w:val="both"/>
              <w:textAlignment w:val="auto"/>
              <w:rPr>
                <w:rFonts w:hint="default" w:ascii="Times New Roman" w:hAnsi="Times New Roman" w:eastAsia="宋体" w:cs="Times New Roman"/>
                <w:b w:val="0"/>
                <w:bCs/>
                <w:i w:val="0"/>
                <w:iCs/>
                <w:color w:val="auto"/>
                <w:sz w:val="20"/>
                <w:szCs w:val="20"/>
              </w:rPr>
            </w:pPr>
            <w:r>
              <w:rPr>
                <w:rFonts w:hint="default" w:ascii="Times New Roman" w:hAnsi="Times New Roman" w:eastAsia="宋体" w:cs="Times New Roman"/>
                <w:b w:val="0"/>
                <w:bCs/>
                <w:i w:val="0"/>
                <w:iCs/>
                <w:color w:val="auto"/>
                <w:sz w:val="20"/>
                <w:szCs w:val="20"/>
                <w:lang w:eastAsia="zh-CN"/>
              </w:rPr>
              <w:t>FFS: details of Beam angle(s)</w:t>
            </w:r>
          </w:p>
          <w:p>
            <w:pPr>
              <w:keepNext w:val="0"/>
              <w:keepLines w:val="0"/>
              <w:pageBreakBefore w:val="0"/>
              <w:widowControl w:val="0"/>
              <w:numPr>
                <w:ilvl w:val="0"/>
                <w:numId w:val="9"/>
              </w:numPr>
              <w:kinsoku/>
              <w:wordWrap/>
              <w:overflowPunct/>
              <w:topLinePunct w:val="0"/>
              <w:autoSpaceDE w:val="0"/>
              <w:autoSpaceDN w:val="0"/>
              <w:bidi w:val="0"/>
              <w:adjustRightInd w:val="0"/>
              <w:snapToGrid w:val="0"/>
              <w:spacing w:before="95" w:beforeLines="30" w:after="109" w:afterLines="30" w:line="288" w:lineRule="auto"/>
              <w:jc w:val="both"/>
              <w:textAlignment w:val="auto"/>
              <w:rPr>
                <w:rFonts w:hint="default" w:ascii="Times New Roman" w:hAnsi="Times New Roman" w:eastAsia="宋体" w:cs="Times New Roman"/>
                <w:b w:val="0"/>
                <w:bCs/>
                <w:i w:val="0"/>
                <w:iCs/>
                <w:color w:val="auto"/>
                <w:sz w:val="20"/>
                <w:szCs w:val="20"/>
              </w:rPr>
            </w:pPr>
            <w:r>
              <w:rPr>
                <w:rFonts w:hint="default" w:ascii="Times New Roman" w:hAnsi="Times New Roman" w:eastAsia="宋体" w:cs="Times New Roman"/>
                <w:b w:val="0"/>
                <w:bCs/>
                <w:i w:val="0"/>
                <w:iCs/>
                <w:color w:val="auto"/>
                <w:sz w:val="20"/>
                <w:szCs w:val="20"/>
              </w:rPr>
              <w:t>FFS: how to select the N DL Tx and/or Rx beams (e.g., L1-RSRP higher than a threshold,</w:t>
            </w:r>
            <w:r>
              <w:rPr>
                <w:rFonts w:hint="default" w:ascii="Times New Roman" w:hAnsi="Times New Roman" w:cs="Times New Roman"/>
                <w:b w:val="0"/>
                <w:bCs/>
                <w:i w:val="0"/>
                <w:iCs/>
                <w:color w:val="auto"/>
                <w:sz w:val="20"/>
                <w:szCs w:val="20"/>
                <w:lang w:eastAsia="ja-JP"/>
              </w:rPr>
              <w:t xml:space="preserve"> a sum probability of being the best beams higher than a threshold, </w:t>
            </w:r>
            <w:r>
              <w:rPr>
                <w:rFonts w:hint="default" w:ascii="Times New Roman" w:hAnsi="Times New Roman" w:eastAsia="宋体" w:cs="Times New Roman"/>
                <w:b w:val="0"/>
                <w:bCs/>
                <w:i w:val="0"/>
                <w:iCs/>
                <w:color w:val="auto"/>
                <w:sz w:val="20"/>
                <w:szCs w:val="20"/>
                <w:lang w:eastAsia="zh-CN"/>
              </w:rPr>
              <w:t xml:space="preserve">RSRP corresponding to the expected </w:t>
            </w:r>
            <w:r>
              <w:rPr>
                <w:rFonts w:hint="default" w:ascii="Times New Roman" w:hAnsi="Times New Roman" w:cs="Times New Roman"/>
                <w:b w:val="0"/>
                <w:bCs/>
                <w:i w:val="0"/>
                <w:iCs/>
                <w:color w:val="auto"/>
                <w:sz w:val="20"/>
                <w:szCs w:val="20"/>
              </w:rPr>
              <w:t>Tx and/or Rx</w:t>
            </w:r>
            <w:r>
              <w:rPr>
                <w:rFonts w:hint="default" w:ascii="Times New Roman" w:hAnsi="Times New Roman" w:eastAsia="宋体" w:cs="Times New Roman"/>
                <w:b w:val="0"/>
                <w:bCs/>
                <w:i w:val="0"/>
                <w:iCs/>
                <w:color w:val="auto"/>
                <w:sz w:val="20"/>
                <w:szCs w:val="20"/>
                <w:lang w:eastAsia="zh-CN"/>
              </w:rPr>
              <w:t xml:space="preserve"> beam direction(s)</w:t>
            </w:r>
            <w:r>
              <w:rPr>
                <w:rFonts w:hint="default" w:ascii="Times New Roman" w:hAnsi="Times New Roman" w:cs="Times New Roman"/>
                <w:b w:val="0"/>
                <w:bCs/>
                <w:i w:val="0"/>
                <w:iCs/>
                <w:color w:val="auto"/>
                <w:sz w:val="20"/>
                <w:szCs w:val="20"/>
                <w:lang w:eastAsia="ja-JP"/>
              </w:rPr>
              <w:t>)</w:t>
            </w:r>
          </w:p>
          <w:p>
            <w:pPr>
              <w:keepNext w:val="0"/>
              <w:keepLines w:val="0"/>
              <w:pageBreakBefore w:val="0"/>
              <w:widowControl w:val="0"/>
              <w:numPr>
                <w:ilvl w:val="0"/>
                <w:numId w:val="9"/>
              </w:numPr>
              <w:kinsoku/>
              <w:wordWrap/>
              <w:overflowPunct/>
              <w:topLinePunct w:val="0"/>
              <w:autoSpaceDE w:val="0"/>
              <w:autoSpaceDN w:val="0"/>
              <w:bidi w:val="0"/>
              <w:adjustRightInd w:val="0"/>
              <w:snapToGrid w:val="0"/>
              <w:spacing w:before="95" w:beforeLines="30" w:after="109" w:afterLines="30" w:line="288" w:lineRule="auto"/>
              <w:jc w:val="both"/>
              <w:textAlignment w:val="auto"/>
              <w:rPr>
                <w:rFonts w:hint="default" w:ascii="Times New Roman" w:hAnsi="Times New Roman" w:eastAsia="宋体" w:cs="Times New Roman"/>
                <w:b w:val="0"/>
                <w:bCs/>
                <w:i w:val="0"/>
                <w:iCs/>
                <w:color w:val="auto"/>
                <w:sz w:val="20"/>
                <w:szCs w:val="20"/>
              </w:rPr>
            </w:pPr>
            <w:r>
              <w:rPr>
                <w:rFonts w:hint="default" w:ascii="Times New Roman" w:hAnsi="Times New Roman" w:eastAsia="宋体" w:cs="Times New Roman"/>
                <w:b w:val="0"/>
                <w:bCs/>
                <w:i w:val="0"/>
                <w:iCs/>
                <w:color w:val="auto"/>
                <w:sz w:val="20"/>
                <w:szCs w:val="20"/>
              </w:rPr>
              <w:t xml:space="preserve">Note1: It is up to companies to provide other alternative(s) </w:t>
            </w:r>
          </w:p>
          <w:p>
            <w:pPr>
              <w:keepNext w:val="0"/>
              <w:keepLines w:val="0"/>
              <w:pageBreakBefore w:val="0"/>
              <w:widowControl w:val="0"/>
              <w:numPr>
                <w:ilvl w:val="0"/>
                <w:numId w:val="9"/>
              </w:numPr>
              <w:kinsoku/>
              <w:wordWrap/>
              <w:overflowPunct/>
              <w:topLinePunct w:val="0"/>
              <w:autoSpaceDE w:val="0"/>
              <w:autoSpaceDN w:val="0"/>
              <w:bidi w:val="0"/>
              <w:adjustRightInd w:val="0"/>
              <w:snapToGrid w:val="0"/>
              <w:spacing w:before="95" w:beforeLines="30" w:after="109" w:afterLines="30" w:line="288" w:lineRule="auto"/>
              <w:jc w:val="both"/>
              <w:textAlignment w:val="auto"/>
              <w:rPr>
                <w:rFonts w:hint="default" w:ascii="Times New Roman" w:hAnsi="Times New Roman" w:eastAsia="宋体" w:cs="Times New Roman"/>
                <w:b w:val="0"/>
                <w:bCs/>
                <w:i w:val="0"/>
                <w:iCs/>
                <w:color w:val="auto"/>
                <w:sz w:val="20"/>
                <w:szCs w:val="20"/>
              </w:rPr>
            </w:pPr>
            <w:r>
              <w:rPr>
                <w:rFonts w:hint="default" w:ascii="Times New Roman" w:hAnsi="Times New Roman" w:eastAsia="宋体" w:cs="Times New Roman"/>
                <w:b w:val="0"/>
                <w:bCs/>
                <w:i w:val="0"/>
                <w:iCs/>
                <w:color w:val="auto"/>
                <w:sz w:val="20"/>
                <w:szCs w:val="20"/>
              </w:rPr>
              <w:t>Note2: Beam ID is only used for discussion purpose</w:t>
            </w:r>
          </w:p>
          <w:p>
            <w:pPr>
              <w:keepNext w:val="0"/>
              <w:keepLines w:val="0"/>
              <w:pageBreakBefore w:val="0"/>
              <w:widowControl w:val="0"/>
              <w:numPr>
                <w:ilvl w:val="0"/>
                <w:numId w:val="9"/>
              </w:numPr>
              <w:kinsoku/>
              <w:wordWrap/>
              <w:overflowPunct/>
              <w:topLinePunct w:val="0"/>
              <w:autoSpaceDE w:val="0"/>
              <w:autoSpaceDN w:val="0"/>
              <w:bidi w:val="0"/>
              <w:adjustRightInd w:val="0"/>
              <w:snapToGrid w:val="0"/>
              <w:spacing w:before="95" w:beforeLines="30" w:after="109" w:afterLines="30" w:line="288" w:lineRule="auto"/>
              <w:jc w:val="both"/>
              <w:textAlignment w:val="auto"/>
              <w:rPr>
                <w:rFonts w:hint="default" w:ascii="Times New Roman" w:hAnsi="Times New Roman" w:eastAsia="宋体" w:cs="Times New Roman"/>
                <w:b w:val="0"/>
                <w:bCs/>
                <w:i w:val="0"/>
                <w:iCs/>
                <w:color w:val="auto"/>
                <w:sz w:val="20"/>
                <w:szCs w:val="20"/>
              </w:rPr>
            </w:pPr>
            <w:r>
              <w:rPr>
                <w:rFonts w:hint="default" w:ascii="Times New Roman" w:hAnsi="Times New Roman" w:eastAsia="宋体" w:cs="Times New Roman"/>
                <w:b w:val="0"/>
                <w:bCs/>
                <w:i w:val="0"/>
                <w:iCs/>
                <w:color w:val="auto"/>
                <w:sz w:val="20"/>
                <w:szCs w:val="20"/>
              </w:rPr>
              <w:t>Note3: All the outputs are “nominal” and only for discussion purpose</w:t>
            </w:r>
          </w:p>
          <w:p>
            <w:pPr>
              <w:keepNext w:val="0"/>
              <w:keepLines w:val="0"/>
              <w:pageBreakBefore w:val="0"/>
              <w:widowControl w:val="0"/>
              <w:numPr>
                <w:ilvl w:val="0"/>
                <w:numId w:val="9"/>
              </w:numPr>
              <w:kinsoku/>
              <w:wordWrap/>
              <w:overflowPunct/>
              <w:topLinePunct w:val="0"/>
              <w:autoSpaceDE w:val="0"/>
              <w:autoSpaceDN w:val="0"/>
              <w:bidi w:val="0"/>
              <w:adjustRightInd w:val="0"/>
              <w:snapToGrid w:val="0"/>
              <w:spacing w:before="95" w:beforeLines="30" w:after="109" w:afterLines="30" w:line="288" w:lineRule="auto"/>
              <w:jc w:val="both"/>
              <w:textAlignment w:val="auto"/>
              <w:rPr>
                <w:rFonts w:hint="default" w:ascii="Times New Roman" w:hAnsi="Times New Roman" w:eastAsia="宋体" w:cs="Times New Roman"/>
                <w:b w:val="0"/>
                <w:bCs/>
                <w:i w:val="0"/>
                <w:iCs/>
                <w:color w:val="auto"/>
                <w:sz w:val="20"/>
                <w:szCs w:val="20"/>
              </w:rPr>
            </w:pPr>
            <w:r>
              <w:rPr>
                <w:rFonts w:hint="default" w:ascii="Times New Roman" w:hAnsi="Times New Roman" w:eastAsia="宋体" w:cs="Times New Roman"/>
                <w:b w:val="0"/>
                <w:bCs/>
                <w:i w:val="0"/>
                <w:iCs/>
                <w:color w:val="auto"/>
                <w:sz w:val="20"/>
                <w:szCs w:val="20"/>
              </w:rPr>
              <w:t xml:space="preserve">Note4: Values of N is up to each company. </w:t>
            </w:r>
          </w:p>
          <w:p>
            <w:pPr>
              <w:keepNext w:val="0"/>
              <w:keepLines w:val="0"/>
              <w:pageBreakBefore w:val="0"/>
              <w:widowControl w:val="0"/>
              <w:numPr>
                <w:ilvl w:val="0"/>
                <w:numId w:val="9"/>
              </w:numPr>
              <w:kinsoku/>
              <w:wordWrap/>
              <w:overflowPunct/>
              <w:topLinePunct w:val="0"/>
              <w:autoSpaceDE w:val="0"/>
              <w:autoSpaceDN w:val="0"/>
              <w:bidi w:val="0"/>
              <w:adjustRightInd w:val="0"/>
              <w:snapToGrid w:val="0"/>
              <w:spacing w:before="95" w:beforeLines="30" w:after="109" w:afterLines="30" w:line="288" w:lineRule="auto"/>
              <w:jc w:val="both"/>
              <w:textAlignment w:val="auto"/>
              <w:rPr>
                <w:rFonts w:hint="default" w:ascii="Times New Roman" w:hAnsi="Times New Roman" w:eastAsia="等线" w:cs="Times New Roman"/>
                <w:b w:val="0"/>
                <w:bCs/>
                <w:i w:val="0"/>
                <w:iCs/>
                <w:color w:val="auto"/>
                <w:sz w:val="20"/>
                <w:szCs w:val="20"/>
                <w:lang w:eastAsia="zh-CN"/>
              </w:rPr>
            </w:pPr>
            <w:r>
              <w:rPr>
                <w:rFonts w:hint="default" w:ascii="Times New Roman" w:hAnsi="Times New Roman" w:eastAsia="等线" w:cs="Times New Roman"/>
                <w:b w:val="0"/>
                <w:bCs/>
                <w:i w:val="0"/>
                <w:iCs/>
                <w:color w:val="auto"/>
                <w:sz w:val="20"/>
                <w:szCs w:val="20"/>
                <w:lang w:eastAsia="zh-CN"/>
              </w:rPr>
              <w:t>Note5: All of the outputs in the above alternatives may vary based on whether the AI/ML model inference is at UE side or gNB side.</w:t>
            </w:r>
          </w:p>
          <w:p>
            <w:pPr>
              <w:keepNext w:val="0"/>
              <w:keepLines w:val="0"/>
              <w:pageBreakBefore w:val="0"/>
              <w:widowControl w:val="0"/>
              <w:numPr>
                <w:ilvl w:val="0"/>
                <w:numId w:val="9"/>
              </w:numPr>
              <w:kinsoku/>
              <w:wordWrap/>
              <w:overflowPunct/>
              <w:topLinePunct w:val="0"/>
              <w:autoSpaceDE w:val="0"/>
              <w:autoSpaceDN w:val="0"/>
              <w:bidi w:val="0"/>
              <w:adjustRightInd w:val="0"/>
              <w:snapToGrid w:val="0"/>
              <w:spacing w:before="95" w:beforeLines="30" w:after="109" w:afterLines="30" w:line="288" w:lineRule="auto"/>
              <w:jc w:val="both"/>
              <w:textAlignment w:val="auto"/>
              <w:rPr>
                <w:rFonts w:hint="default" w:ascii="Times New Roman" w:hAnsi="Times New Roman" w:eastAsia="等线" w:cs="Times New Roman"/>
                <w:b w:val="0"/>
                <w:bCs/>
                <w:i w:val="0"/>
                <w:iCs/>
                <w:color w:val="auto"/>
                <w:sz w:val="20"/>
                <w:szCs w:val="20"/>
                <w:lang w:eastAsia="zh-CN"/>
              </w:rPr>
            </w:pPr>
            <w:r>
              <w:rPr>
                <w:rFonts w:hint="default" w:ascii="Times New Roman" w:hAnsi="Times New Roman" w:eastAsia="等线" w:cs="Times New Roman"/>
                <w:b w:val="0"/>
                <w:bCs/>
                <w:i w:val="0"/>
                <w:iCs/>
                <w:color w:val="auto"/>
                <w:sz w:val="20"/>
                <w:szCs w:val="20"/>
                <w:lang w:eastAsia="zh-CN"/>
              </w:rPr>
              <w:t>Note 6: The Top-N beam IDs might have been derived via post-processing of the ML-model output</w:t>
            </w:r>
          </w:p>
          <w:p>
            <w:pPr>
              <w:pStyle w:val="99"/>
              <w:keepNext w:val="0"/>
              <w:keepLines w:val="0"/>
              <w:pageBreakBefore w:val="0"/>
              <w:widowControl w:val="0"/>
              <w:numPr>
                <w:ilvl w:val="0"/>
                <w:numId w:val="0"/>
              </w:numPr>
              <w:kinsoku/>
              <w:wordWrap/>
              <w:overflowPunct/>
              <w:topLinePunct w:val="0"/>
              <w:autoSpaceDE/>
              <w:autoSpaceDN/>
              <w:bidi w:val="0"/>
              <w:adjustRightInd/>
              <w:snapToGrid w:val="0"/>
              <w:spacing w:before="95" w:beforeLines="30" w:after="109" w:afterLines="30" w:line="288" w:lineRule="auto"/>
              <w:contextualSpacing/>
              <w:textAlignment w:val="auto"/>
              <w:rPr>
                <w:rFonts w:hint="default" w:ascii="Times New Roman" w:hAnsi="Times New Roman" w:eastAsia="等线" w:cs="Times New Roman"/>
                <w:b w:val="0"/>
                <w:bCs/>
                <w:i w:val="0"/>
                <w:iCs/>
                <w:color w:val="auto"/>
                <w:sz w:val="20"/>
                <w:szCs w:val="20"/>
                <w:lang w:eastAsia="zh-CN"/>
              </w:rPr>
            </w:pPr>
          </w:p>
          <w:p>
            <w:pPr>
              <w:keepNext w:val="0"/>
              <w:keepLines w:val="0"/>
              <w:pageBreakBefore w:val="0"/>
              <w:widowControl w:val="0"/>
              <w:kinsoku/>
              <w:wordWrap/>
              <w:overflowPunct/>
              <w:topLinePunct w:val="0"/>
              <w:autoSpaceDE/>
              <w:autoSpaceDN/>
              <w:bidi w:val="0"/>
              <w:adjustRightInd/>
              <w:snapToGrid w:val="0"/>
              <w:spacing w:before="95" w:beforeLines="30" w:after="109" w:afterLines="30" w:line="288" w:lineRule="auto"/>
              <w:jc w:val="both"/>
              <w:textAlignment w:val="auto"/>
              <w:rPr>
                <w:rFonts w:hint="default" w:ascii="Times New Roman" w:hAnsi="Times New Roman" w:eastAsia="宋体" w:cs="Times New Roman"/>
                <w:b/>
                <w:bCs w:val="0"/>
                <w:i w:val="0"/>
                <w:iCs/>
                <w:color w:val="auto"/>
                <w:kern w:val="2"/>
                <w:sz w:val="20"/>
                <w:szCs w:val="20"/>
                <w:highlight w:val="none"/>
                <w:lang w:eastAsia="zh-CN"/>
              </w:rPr>
            </w:pPr>
            <w:r>
              <w:rPr>
                <w:rFonts w:hint="default" w:ascii="Times New Roman" w:hAnsi="Times New Roman" w:eastAsia="宋体" w:cs="Times New Roman"/>
                <w:b/>
                <w:bCs w:val="0"/>
                <w:i w:val="0"/>
                <w:iCs/>
                <w:color w:val="auto"/>
                <w:kern w:val="2"/>
                <w:sz w:val="20"/>
                <w:szCs w:val="20"/>
                <w:highlight w:val="none"/>
                <w:lang w:eastAsia="zh-CN"/>
              </w:rPr>
              <w:t>Agreement</w:t>
            </w:r>
            <w:r>
              <w:rPr>
                <w:rFonts w:hint="eastAsia" w:cs="Times New Roman"/>
                <w:b/>
                <w:bCs w:val="0"/>
                <w:i w:val="0"/>
                <w:iCs/>
                <w:color w:val="auto"/>
                <w:kern w:val="2"/>
                <w:sz w:val="20"/>
                <w:szCs w:val="20"/>
                <w:highlight w:val="none"/>
                <w:lang w:val="en-US" w:eastAsia="zh-CN"/>
              </w:rPr>
              <w:t>:</w:t>
            </w:r>
            <w:r>
              <w:rPr>
                <w:rFonts w:hint="default" w:ascii="Times New Roman" w:hAnsi="Times New Roman" w:eastAsia="宋体" w:cs="Times New Roman"/>
                <w:b/>
                <w:bCs w:val="0"/>
                <w:i w:val="0"/>
                <w:iCs/>
                <w:color w:val="auto"/>
                <w:kern w:val="2"/>
                <w:sz w:val="20"/>
                <w:szCs w:val="20"/>
                <w:highlight w:val="none"/>
                <w:lang w:eastAsia="zh-CN"/>
              </w:rPr>
              <w:t xml:space="preserve"> </w:t>
            </w:r>
          </w:p>
          <w:p>
            <w:pPr>
              <w:keepNext w:val="0"/>
              <w:keepLines w:val="0"/>
              <w:pageBreakBefore w:val="0"/>
              <w:widowControl w:val="0"/>
              <w:kinsoku/>
              <w:wordWrap/>
              <w:overflowPunct/>
              <w:topLinePunct w:val="0"/>
              <w:autoSpaceDE/>
              <w:autoSpaceDN/>
              <w:bidi w:val="0"/>
              <w:adjustRightInd/>
              <w:snapToGrid w:val="0"/>
              <w:spacing w:before="95" w:beforeLines="30" w:after="109" w:afterLines="30" w:line="288" w:lineRule="auto"/>
              <w:textAlignment w:val="auto"/>
              <w:rPr>
                <w:rFonts w:hint="default" w:ascii="Times New Roman" w:hAnsi="Times New Roman" w:cs="Times New Roman"/>
                <w:b w:val="0"/>
                <w:bCs/>
                <w:i w:val="0"/>
                <w:iCs/>
                <w:color w:val="auto"/>
                <w:sz w:val="20"/>
                <w:szCs w:val="20"/>
              </w:rPr>
            </w:pPr>
            <w:r>
              <w:rPr>
                <w:rFonts w:hint="default" w:ascii="Times New Roman" w:hAnsi="Times New Roman" w:cs="Times New Roman"/>
                <w:b w:val="0"/>
                <w:bCs/>
                <w:i w:val="0"/>
                <w:iCs/>
                <w:color w:val="auto"/>
                <w:sz w:val="20"/>
                <w:szCs w:val="20"/>
              </w:rPr>
              <w:t>For the data collection for AI/ML model training (if supported), study the following aspects as a starting point for potential necessary specification impact:</w:t>
            </w:r>
          </w:p>
          <w:p>
            <w:pPr>
              <w:pStyle w:val="4"/>
              <w:keepNext w:val="0"/>
              <w:keepLines w:val="0"/>
              <w:pageBreakBefore w:val="0"/>
              <w:widowControl w:val="0"/>
              <w:numPr>
                <w:ilvl w:val="0"/>
                <w:numId w:val="10"/>
              </w:numPr>
              <w:kinsoku/>
              <w:wordWrap/>
              <w:overflowPunct/>
              <w:topLinePunct w:val="0"/>
              <w:autoSpaceDE/>
              <w:autoSpaceDN/>
              <w:bidi w:val="0"/>
              <w:adjustRightInd/>
              <w:snapToGrid w:val="0"/>
              <w:spacing w:before="95" w:beforeLines="30" w:after="109" w:afterLines="30" w:line="288" w:lineRule="auto"/>
              <w:jc w:val="left"/>
              <w:textAlignment w:val="auto"/>
              <w:rPr>
                <w:rFonts w:hint="default" w:ascii="Times New Roman" w:hAnsi="Times New Roman" w:cs="Times New Roman"/>
                <w:b w:val="0"/>
                <w:bCs/>
                <w:i w:val="0"/>
                <w:iCs/>
                <w:color w:val="auto"/>
                <w:sz w:val="20"/>
                <w:szCs w:val="20"/>
              </w:rPr>
            </w:pPr>
            <w:r>
              <w:rPr>
                <w:rFonts w:hint="default" w:ascii="Times New Roman" w:hAnsi="Times New Roman" w:cs="Times New Roman"/>
                <w:b w:val="0"/>
                <w:bCs/>
                <w:i w:val="0"/>
                <w:iCs/>
                <w:color w:val="auto"/>
                <w:sz w:val="20"/>
                <w:szCs w:val="20"/>
              </w:rPr>
              <w:t>Signaling/configuration/measurement/report for data collection, e.g., signaling aspects related to assistance information (if supported), Reference signals</w:t>
            </w:r>
          </w:p>
          <w:p>
            <w:pPr>
              <w:pStyle w:val="4"/>
              <w:keepNext w:val="0"/>
              <w:keepLines w:val="0"/>
              <w:pageBreakBefore w:val="0"/>
              <w:widowControl w:val="0"/>
              <w:numPr>
                <w:ilvl w:val="0"/>
                <w:numId w:val="10"/>
              </w:numPr>
              <w:kinsoku/>
              <w:wordWrap/>
              <w:overflowPunct/>
              <w:topLinePunct w:val="0"/>
              <w:autoSpaceDE/>
              <w:autoSpaceDN/>
              <w:bidi w:val="0"/>
              <w:adjustRightInd/>
              <w:snapToGrid w:val="0"/>
              <w:spacing w:before="95" w:beforeLines="30" w:after="109" w:afterLines="30" w:line="288" w:lineRule="auto"/>
              <w:jc w:val="left"/>
              <w:textAlignment w:val="auto"/>
              <w:rPr>
                <w:rFonts w:hint="default" w:ascii="Times New Roman" w:hAnsi="Times New Roman" w:cs="Times New Roman"/>
                <w:b w:val="0"/>
                <w:bCs/>
                <w:i w:val="0"/>
                <w:iCs/>
                <w:color w:val="auto"/>
                <w:sz w:val="20"/>
                <w:szCs w:val="20"/>
              </w:rPr>
            </w:pPr>
            <w:r>
              <w:rPr>
                <w:rFonts w:hint="default" w:ascii="Times New Roman" w:hAnsi="Times New Roman" w:cs="Times New Roman"/>
                <w:b w:val="0"/>
                <w:bCs/>
                <w:i w:val="0"/>
                <w:iCs/>
                <w:color w:val="auto"/>
                <w:sz w:val="20"/>
                <w:szCs w:val="20"/>
              </w:rPr>
              <w:t>Content/type of the collected data</w:t>
            </w:r>
          </w:p>
          <w:p>
            <w:pPr>
              <w:pStyle w:val="4"/>
              <w:keepNext w:val="0"/>
              <w:keepLines w:val="0"/>
              <w:pageBreakBefore w:val="0"/>
              <w:widowControl w:val="0"/>
              <w:numPr>
                <w:ilvl w:val="0"/>
                <w:numId w:val="10"/>
              </w:numPr>
              <w:kinsoku/>
              <w:wordWrap/>
              <w:overflowPunct/>
              <w:topLinePunct w:val="0"/>
              <w:autoSpaceDE/>
              <w:autoSpaceDN/>
              <w:bidi w:val="0"/>
              <w:adjustRightInd/>
              <w:snapToGrid w:val="0"/>
              <w:spacing w:before="95" w:beforeLines="30" w:after="109" w:afterLines="30" w:line="288" w:lineRule="auto"/>
              <w:jc w:val="left"/>
              <w:textAlignment w:val="auto"/>
              <w:rPr>
                <w:rFonts w:hint="default" w:ascii="Times New Roman" w:hAnsi="Times New Roman" w:cs="Times New Roman"/>
                <w:b w:val="0"/>
                <w:bCs/>
                <w:i w:val="0"/>
                <w:iCs/>
                <w:color w:val="auto"/>
                <w:sz w:val="20"/>
                <w:szCs w:val="20"/>
              </w:rPr>
            </w:pPr>
            <w:r>
              <w:rPr>
                <w:rFonts w:hint="default" w:ascii="Times New Roman" w:hAnsi="Times New Roman" w:cs="Times New Roman"/>
                <w:b w:val="0"/>
                <w:bCs/>
                <w:i w:val="0"/>
                <w:iCs/>
                <w:color w:val="auto"/>
                <w:sz w:val="20"/>
                <w:szCs w:val="20"/>
              </w:rPr>
              <w:t>Other aspect(s) is not precluded</w:t>
            </w:r>
          </w:p>
          <w:p>
            <w:pPr>
              <w:pStyle w:val="99"/>
              <w:keepNext w:val="0"/>
              <w:keepLines w:val="0"/>
              <w:pageBreakBefore w:val="0"/>
              <w:widowControl w:val="0"/>
              <w:numPr>
                <w:ilvl w:val="0"/>
                <w:numId w:val="0"/>
              </w:numPr>
              <w:kinsoku/>
              <w:wordWrap/>
              <w:overflowPunct/>
              <w:topLinePunct w:val="0"/>
              <w:autoSpaceDE/>
              <w:autoSpaceDN/>
              <w:bidi w:val="0"/>
              <w:adjustRightInd/>
              <w:snapToGrid w:val="0"/>
              <w:spacing w:before="95" w:beforeLines="30" w:after="109" w:afterLines="30" w:line="288" w:lineRule="auto"/>
              <w:contextualSpacing/>
              <w:textAlignment w:val="auto"/>
              <w:rPr>
                <w:rFonts w:hint="default" w:ascii="Times New Roman" w:hAnsi="Times New Roman" w:cs="Times New Roman"/>
                <w:b w:val="0"/>
                <w:bCs/>
                <w:i w:val="0"/>
                <w:iCs/>
                <w:color w:val="auto"/>
                <w:sz w:val="20"/>
                <w:szCs w:val="20"/>
              </w:rPr>
            </w:pPr>
          </w:p>
          <w:p>
            <w:pPr>
              <w:keepNext w:val="0"/>
              <w:keepLines w:val="0"/>
              <w:pageBreakBefore w:val="0"/>
              <w:widowControl w:val="0"/>
              <w:kinsoku/>
              <w:wordWrap/>
              <w:overflowPunct/>
              <w:topLinePunct w:val="0"/>
              <w:autoSpaceDE/>
              <w:autoSpaceDN/>
              <w:bidi w:val="0"/>
              <w:adjustRightInd/>
              <w:snapToGrid w:val="0"/>
              <w:spacing w:before="95" w:beforeLines="30" w:after="109" w:afterLines="30" w:line="288" w:lineRule="auto"/>
              <w:jc w:val="both"/>
              <w:textAlignment w:val="auto"/>
              <w:rPr>
                <w:rFonts w:hint="default" w:ascii="Times New Roman" w:hAnsi="Times New Roman" w:eastAsia="宋体" w:cs="Times New Roman"/>
                <w:b/>
                <w:bCs w:val="0"/>
                <w:i w:val="0"/>
                <w:iCs/>
                <w:color w:val="auto"/>
                <w:kern w:val="2"/>
                <w:sz w:val="20"/>
                <w:szCs w:val="20"/>
                <w:highlight w:val="none"/>
                <w:lang w:eastAsia="zh-CN"/>
              </w:rPr>
            </w:pPr>
            <w:r>
              <w:rPr>
                <w:rFonts w:hint="default" w:ascii="Times New Roman" w:hAnsi="Times New Roman" w:eastAsia="宋体" w:cs="Times New Roman"/>
                <w:b/>
                <w:bCs w:val="0"/>
                <w:i w:val="0"/>
                <w:iCs/>
                <w:color w:val="auto"/>
                <w:kern w:val="2"/>
                <w:sz w:val="20"/>
                <w:szCs w:val="20"/>
                <w:highlight w:val="none"/>
                <w:lang w:eastAsia="zh-CN"/>
              </w:rPr>
              <w:t>Agreement</w:t>
            </w:r>
            <w:r>
              <w:rPr>
                <w:rFonts w:hint="eastAsia" w:cs="Times New Roman"/>
                <w:b/>
                <w:bCs w:val="0"/>
                <w:i w:val="0"/>
                <w:iCs/>
                <w:color w:val="auto"/>
                <w:kern w:val="2"/>
                <w:sz w:val="20"/>
                <w:szCs w:val="20"/>
                <w:highlight w:val="none"/>
                <w:lang w:val="en-US" w:eastAsia="zh-CN"/>
              </w:rPr>
              <w:t>:</w:t>
            </w:r>
            <w:r>
              <w:rPr>
                <w:rFonts w:hint="default" w:ascii="Times New Roman" w:hAnsi="Times New Roman" w:eastAsia="宋体" w:cs="Times New Roman"/>
                <w:b/>
                <w:bCs w:val="0"/>
                <w:i w:val="0"/>
                <w:iCs/>
                <w:color w:val="auto"/>
                <w:kern w:val="2"/>
                <w:sz w:val="20"/>
                <w:szCs w:val="20"/>
                <w:highlight w:val="none"/>
                <w:lang w:eastAsia="zh-CN"/>
              </w:rPr>
              <w:t xml:space="preserve"> </w:t>
            </w:r>
          </w:p>
          <w:p>
            <w:pPr>
              <w:keepNext w:val="0"/>
              <w:keepLines w:val="0"/>
              <w:pageBreakBefore w:val="0"/>
              <w:widowControl w:val="0"/>
              <w:kinsoku/>
              <w:wordWrap/>
              <w:overflowPunct/>
              <w:topLinePunct w:val="0"/>
              <w:autoSpaceDE/>
              <w:autoSpaceDN/>
              <w:bidi w:val="0"/>
              <w:adjustRightInd/>
              <w:snapToGrid w:val="0"/>
              <w:spacing w:before="95" w:beforeLines="30" w:after="109" w:afterLines="30" w:line="288" w:lineRule="auto"/>
              <w:textAlignment w:val="auto"/>
              <w:rPr>
                <w:rFonts w:hint="default" w:ascii="Times New Roman" w:hAnsi="Times New Roman" w:cs="Times New Roman"/>
                <w:b w:val="0"/>
                <w:bCs/>
                <w:i w:val="0"/>
                <w:iCs/>
                <w:color w:val="auto"/>
                <w:sz w:val="20"/>
                <w:szCs w:val="20"/>
              </w:rPr>
            </w:pPr>
            <w:r>
              <w:rPr>
                <w:rFonts w:hint="default" w:ascii="Times New Roman" w:hAnsi="Times New Roman" w:cs="Times New Roman"/>
                <w:b w:val="0"/>
                <w:bCs/>
                <w:i w:val="0"/>
                <w:iCs/>
                <w:color w:val="auto"/>
                <w:sz w:val="20"/>
                <w:szCs w:val="20"/>
              </w:rPr>
              <w:t>In order to facilitate the AI/ML model inference, study the following aspects as a starting point:</w:t>
            </w:r>
          </w:p>
          <w:p>
            <w:pPr>
              <w:pStyle w:val="4"/>
              <w:keepNext w:val="0"/>
              <w:keepLines w:val="0"/>
              <w:pageBreakBefore w:val="0"/>
              <w:widowControl w:val="0"/>
              <w:numPr>
                <w:ilvl w:val="0"/>
                <w:numId w:val="10"/>
              </w:numPr>
              <w:kinsoku/>
              <w:wordWrap/>
              <w:overflowPunct/>
              <w:topLinePunct w:val="0"/>
              <w:autoSpaceDE/>
              <w:autoSpaceDN/>
              <w:bidi w:val="0"/>
              <w:adjustRightInd/>
              <w:snapToGrid w:val="0"/>
              <w:spacing w:before="95" w:beforeLines="30" w:after="109" w:afterLines="30" w:line="288" w:lineRule="auto"/>
              <w:jc w:val="left"/>
              <w:textAlignment w:val="auto"/>
              <w:rPr>
                <w:rFonts w:hint="default" w:ascii="Times New Roman" w:hAnsi="Times New Roman" w:cs="Times New Roman"/>
                <w:b w:val="0"/>
                <w:bCs/>
                <w:i w:val="0"/>
                <w:iCs/>
                <w:color w:val="auto"/>
                <w:sz w:val="20"/>
                <w:szCs w:val="20"/>
              </w:rPr>
            </w:pPr>
            <w:r>
              <w:rPr>
                <w:rFonts w:hint="default" w:ascii="Times New Roman" w:hAnsi="Times New Roman" w:cs="Times New Roman"/>
                <w:b w:val="0"/>
                <w:bCs/>
                <w:i w:val="0"/>
                <w:iCs/>
                <w:color w:val="auto"/>
                <w:sz w:val="20"/>
                <w:szCs w:val="20"/>
              </w:rPr>
              <w:t>Enhanced or new configurations/UE reporting/UE measurement, e.g., Enhanced or new beam measurement and/or beam reporting</w:t>
            </w:r>
          </w:p>
          <w:p>
            <w:pPr>
              <w:pStyle w:val="4"/>
              <w:keepNext w:val="0"/>
              <w:keepLines w:val="0"/>
              <w:pageBreakBefore w:val="0"/>
              <w:widowControl w:val="0"/>
              <w:numPr>
                <w:ilvl w:val="0"/>
                <w:numId w:val="10"/>
              </w:numPr>
              <w:kinsoku/>
              <w:wordWrap/>
              <w:overflowPunct/>
              <w:topLinePunct w:val="0"/>
              <w:autoSpaceDE/>
              <w:autoSpaceDN/>
              <w:bidi w:val="0"/>
              <w:adjustRightInd/>
              <w:snapToGrid w:val="0"/>
              <w:spacing w:before="95" w:beforeLines="30" w:after="109" w:afterLines="30" w:line="288" w:lineRule="auto"/>
              <w:jc w:val="left"/>
              <w:textAlignment w:val="auto"/>
              <w:rPr>
                <w:rFonts w:hint="default" w:ascii="Times New Roman" w:hAnsi="Times New Roman" w:cs="Times New Roman"/>
                <w:b w:val="0"/>
                <w:bCs/>
                <w:i w:val="0"/>
                <w:iCs/>
                <w:color w:val="auto"/>
                <w:sz w:val="20"/>
                <w:szCs w:val="20"/>
              </w:rPr>
            </w:pPr>
            <w:r>
              <w:rPr>
                <w:rFonts w:hint="default" w:ascii="Times New Roman" w:hAnsi="Times New Roman" w:cs="Times New Roman"/>
                <w:b w:val="0"/>
                <w:bCs/>
                <w:i w:val="0"/>
                <w:iCs/>
                <w:color w:val="auto"/>
                <w:sz w:val="20"/>
                <w:szCs w:val="20"/>
              </w:rPr>
              <w:t>Enhanced or new signaling for measurement configuration/triggering</w:t>
            </w:r>
          </w:p>
          <w:p>
            <w:pPr>
              <w:pStyle w:val="4"/>
              <w:keepNext w:val="0"/>
              <w:keepLines w:val="0"/>
              <w:pageBreakBefore w:val="0"/>
              <w:widowControl w:val="0"/>
              <w:numPr>
                <w:ilvl w:val="0"/>
                <w:numId w:val="10"/>
              </w:numPr>
              <w:kinsoku/>
              <w:wordWrap/>
              <w:overflowPunct/>
              <w:topLinePunct w:val="0"/>
              <w:autoSpaceDE/>
              <w:autoSpaceDN/>
              <w:bidi w:val="0"/>
              <w:adjustRightInd/>
              <w:snapToGrid w:val="0"/>
              <w:spacing w:before="95" w:beforeLines="30" w:after="109" w:afterLines="30" w:line="288" w:lineRule="auto"/>
              <w:jc w:val="left"/>
              <w:textAlignment w:val="auto"/>
              <w:rPr>
                <w:rFonts w:hint="default" w:ascii="Times New Roman" w:hAnsi="Times New Roman" w:cs="Times New Roman"/>
                <w:b w:val="0"/>
                <w:bCs/>
                <w:i w:val="0"/>
                <w:iCs/>
                <w:color w:val="auto"/>
                <w:sz w:val="20"/>
                <w:szCs w:val="20"/>
              </w:rPr>
            </w:pPr>
            <w:r>
              <w:rPr>
                <w:rFonts w:hint="default" w:ascii="Times New Roman" w:hAnsi="Times New Roman" w:cs="Times New Roman"/>
                <w:b w:val="0"/>
                <w:bCs/>
                <w:i w:val="0"/>
                <w:iCs/>
                <w:color w:val="auto"/>
                <w:sz w:val="20"/>
                <w:szCs w:val="20"/>
              </w:rPr>
              <w:t>Signaling of assistance information (if applicable)</w:t>
            </w:r>
          </w:p>
          <w:p>
            <w:pPr>
              <w:pStyle w:val="4"/>
              <w:keepNext w:val="0"/>
              <w:keepLines w:val="0"/>
              <w:pageBreakBefore w:val="0"/>
              <w:widowControl w:val="0"/>
              <w:numPr>
                <w:ilvl w:val="0"/>
                <w:numId w:val="10"/>
              </w:numPr>
              <w:kinsoku/>
              <w:wordWrap/>
              <w:overflowPunct/>
              <w:topLinePunct w:val="0"/>
              <w:autoSpaceDE/>
              <w:autoSpaceDN/>
              <w:bidi w:val="0"/>
              <w:adjustRightInd/>
              <w:snapToGrid w:val="0"/>
              <w:spacing w:before="95" w:beforeLines="30" w:after="109" w:afterLines="30" w:line="288" w:lineRule="auto"/>
              <w:jc w:val="left"/>
              <w:textAlignment w:val="auto"/>
              <w:rPr>
                <w:rFonts w:hint="default" w:ascii="Times New Roman" w:hAnsi="Times New Roman" w:cs="Times New Roman"/>
                <w:b w:val="0"/>
                <w:bCs/>
                <w:i w:val="0"/>
                <w:iCs/>
                <w:color w:val="auto"/>
                <w:sz w:val="20"/>
                <w:szCs w:val="20"/>
              </w:rPr>
            </w:pPr>
            <w:r>
              <w:rPr>
                <w:rFonts w:hint="default" w:ascii="Times New Roman" w:hAnsi="Times New Roman" w:cs="Times New Roman"/>
                <w:b w:val="0"/>
                <w:bCs/>
                <w:i w:val="0"/>
                <w:iCs/>
                <w:color w:val="auto"/>
                <w:sz w:val="20"/>
                <w:szCs w:val="20"/>
              </w:rPr>
              <w:t>Other aspect(s) is not precluded</w:t>
            </w:r>
          </w:p>
          <w:p>
            <w:pPr>
              <w:pStyle w:val="99"/>
              <w:keepNext w:val="0"/>
              <w:keepLines w:val="0"/>
              <w:pageBreakBefore w:val="0"/>
              <w:widowControl w:val="0"/>
              <w:numPr>
                <w:ilvl w:val="0"/>
                <w:numId w:val="0"/>
              </w:numPr>
              <w:kinsoku/>
              <w:wordWrap/>
              <w:overflowPunct/>
              <w:topLinePunct w:val="0"/>
              <w:autoSpaceDE/>
              <w:autoSpaceDN/>
              <w:bidi w:val="0"/>
              <w:adjustRightInd/>
              <w:snapToGrid w:val="0"/>
              <w:spacing w:before="95" w:beforeLines="30" w:after="109" w:afterLines="30" w:line="288" w:lineRule="auto"/>
              <w:contextualSpacing/>
              <w:textAlignment w:val="auto"/>
              <w:rPr>
                <w:rFonts w:hint="default" w:ascii="Times New Roman" w:hAnsi="Times New Roman" w:cs="Times New Roman"/>
                <w:b w:val="0"/>
                <w:bCs/>
                <w:i w:val="0"/>
                <w:iCs/>
                <w:color w:val="auto"/>
                <w:sz w:val="20"/>
                <w:szCs w:val="20"/>
              </w:rPr>
            </w:pPr>
          </w:p>
          <w:p>
            <w:pPr>
              <w:keepNext w:val="0"/>
              <w:keepLines w:val="0"/>
              <w:pageBreakBefore w:val="0"/>
              <w:widowControl w:val="0"/>
              <w:kinsoku/>
              <w:wordWrap/>
              <w:overflowPunct/>
              <w:topLinePunct w:val="0"/>
              <w:autoSpaceDE/>
              <w:autoSpaceDN/>
              <w:bidi w:val="0"/>
              <w:adjustRightInd/>
              <w:snapToGrid w:val="0"/>
              <w:spacing w:before="95" w:beforeLines="30" w:after="109" w:afterLines="30" w:line="288" w:lineRule="auto"/>
              <w:jc w:val="both"/>
              <w:textAlignment w:val="auto"/>
              <w:rPr>
                <w:rFonts w:hint="default" w:ascii="Times New Roman" w:hAnsi="Times New Roman" w:eastAsia="宋体" w:cs="Times New Roman"/>
                <w:b/>
                <w:bCs w:val="0"/>
                <w:i w:val="0"/>
                <w:iCs/>
                <w:color w:val="auto"/>
                <w:kern w:val="2"/>
                <w:sz w:val="20"/>
                <w:szCs w:val="20"/>
                <w:highlight w:val="none"/>
                <w:lang w:eastAsia="zh-CN"/>
              </w:rPr>
            </w:pPr>
            <w:r>
              <w:rPr>
                <w:rFonts w:hint="default" w:ascii="Times New Roman" w:hAnsi="Times New Roman" w:eastAsia="宋体" w:cs="Times New Roman"/>
                <w:b/>
                <w:bCs w:val="0"/>
                <w:i w:val="0"/>
                <w:iCs/>
                <w:color w:val="auto"/>
                <w:kern w:val="2"/>
                <w:sz w:val="20"/>
                <w:szCs w:val="20"/>
                <w:highlight w:val="none"/>
                <w:lang w:eastAsia="zh-CN"/>
              </w:rPr>
              <w:t>Agreement</w:t>
            </w:r>
            <w:r>
              <w:rPr>
                <w:rFonts w:hint="eastAsia" w:cs="Times New Roman"/>
                <w:b/>
                <w:bCs w:val="0"/>
                <w:i w:val="0"/>
                <w:iCs/>
                <w:color w:val="auto"/>
                <w:kern w:val="2"/>
                <w:sz w:val="20"/>
                <w:szCs w:val="20"/>
                <w:highlight w:val="none"/>
                <w:lang w:val="en-US" w:eastAsia="zh-CN"/>
              </w:rPr>
              <w:t>:</w:t>
            </w:r>
            <w:r>
              <w:rPr>
                <w:rFonts w:hint="default" w:ascii="Times New Roman" w:hAnsi="Times New Roman" w:eastAsia="宋体" w:cs="Times New Roman"/>
                <w:b/>
                <w:bCs w:val="0"/>
                <w:i w:val="0"/>
                <w:iCs/>
                <w:color w:val="auto"/>
                <w:kern w:val="2"/>
                <w:sz w:val="20"/>
                <w:szCs w:val="20"/>
                <w:highlight w:val="none"/>
                <w:lang w:eastAsia="zh-CN"/>
              </w:rPr>
              <w:t xml:space="preserve"> </w:t>
            </w:r>
          </w:p>
          <w:p>
            <w:pPr>
              <w:keepNext w:val="0"/>
              <w:keepLines w:val="0"/>
              <w:pageBreakBefore w:val="0"/>
              <w:widowControl w:val="0"/>
              <w:kinsoku/>
              <w:wordWrap/>
              <w:overflowPunct/>
              <w:topLinePunct w:val="0"/>
              <w:autoSpaceDE/>
              <w:autoSpaceDN/>
              <w:bidi w:val="0"/>
              <w:adjustRightInd/>
              <w:snapToGrid w:val="0"/>
              <w:spacing w:before="95" w:beforeLines="30" w:after="109" w:afterLines="30" w:line="288" w:lineRule="auto"/>
              <w:textAlignment w:val="auto"/>
              <w:rPr>
                <w:rFonts w:hint="default" w:ascii="Times New Roman" w:hAnsi="Times New Roman" w:cs="Times New Roman"/>
                <w:b w:val="0"/>
                <w:bCs/>
                <w:i w:val="0"/>
                <w:iCs/>
                <w:color w:val="auto"/>
                <w:sz w:val="20"/>
                <w:szCs w:val="20"/>
              </w:rPr>
            </w:pPr>
            <w:r>
              <w:rPr>
                <w:rFonts w:hint="default" w:ascii="Times New Roman" w:hAnsi="Times New Roman" w:cs="Times New Roman"/>
                <w:b w:val="0"/>
                <w:bCs/>
                <w:i w:val="0"/>
                <w:iCs/>
                <w:color w:val="auto"/>
                <w:sz w:val="20"/>
                <w:szCs w:val="20"/>
              </w:rPr>
              <w:t>Regarding the model monitoring for BM-Case1 and BM-Case2, to investigate specification impacts from the following aspects</w:t>
            </w:r>
          </w:p>
          <w:p>
            <w:pPr>
              <w:pStyle w:val="4"/>
              <w:keepNext w:val="0"/>
              <w:keepLines w:val="0"/>
              <w:pageBreakBefore w:val="0"/>
              <w:widowControl w:val="0"/>
              <w:numPr>
                <w:ilvl w:val="0"/>
                <w:numId w:val="10"/>
              </w:numPr>
              <w:kinsoku/>
              <w:wordWrap/>
              <w:overflowPunct/>
              <w:topLinePunct w:val="0"/>
              <w:autoSpaceDE/>
              <w:autoSpaceDN/>
              <w:bidi w:val="0"/>
              <w:adjustRightInd/>
              <w:snapToGrid w:val="0"/>
              <w:spacing w:before="95" w:beforeLines="30" w:after="109" w:afterLines="30" w:line="288" w:lineRule="auto"/>
              <w:jc w:val="left"/>
              <w:textAlignment w:val="auto"/>
              <w:rPr>
                <w:rFonts w:hint="default" w:ascii="Times New Roman" w:hAnsi="Times New Roman" w:cs="Times New Roman"/>
                <w:b w:val="0"/>
                <w:bCs/>
                <w:i w:val="0"/>
                <w:iCs/>
                <w:color w:val="auto"/>
                <w:sz w:val="20"/>
                <w:szCs w:val="20"/>
              </w:rPr>
            </w:pPr>
            <w:r>
              <w:rPr>
                <w:rFonts w:hint="default" w:ascii="Times New Roman" w:hAnsi="Times New Roman" w:cs="Times New Roman"/>
                <w:b w:val="0"/>
                <w:bCs/>
                <w:i w:val="0"/>
                <w:iCs/>
                <w:color w:val="auto"/>
                <w:sz w:val="20"/>
                <w:szCs w:val="20"/>
              </w:rPr>
              <w:t>Performance metric(s)</w:t>
            </w:r>
          </w:p>
          <w:p>
            <w:pPr>
              <w:pStyle w:val="4"/>
              <w:keepNext w:val="0"/>
              <w:keepLines w:val="0"/>
              <w:pageBreakBefore w:val="0"/>
              <w:widowControl w:val="0"/>
              <w:numPr>
                <w:ilvl w:val="0"/>
                <w:numId w:val="10"/>
              </w:numPr>
              <w:kinsoku/>
              <w:wordWrap/>
              <w:overflowPunct/>
              <w:topLinePunct w:val="0"/>
              <w:autoSpaceDE/>
              <w:autoSpaceDN/>
              <w:bidi w:val="0"/>
              <w:adjustRightInd/>
              <w:snapToGrid w:val="0"/>
              <w:spacing w:before="95" w:beforeLines="30" w:after="109" w:afterLines="30" w:line="288" w:lineRule="auto"/>
              <w:jc w:val="left"/>
              <w:textAlignment w:val="auto"/>
              <w:rPr>
                <w:rFonts w:hint="default" w:ascii="Times New Roman" w:hAnsi="Times New Roman" w:cs="Times New Roman"/>
                <w:b w:val="0"/>
                <w:bCs/>
                <w:i w:val="0"/>
                <w:iCs/>
                <w:color w:val="auto"/>
                <w:sz w:val="20"/>
                <w:szCs w:val="20"/>
              </w:rPr>
            </w:pPr>
            <w:r>
              <w:rPr>
                <w:rFonts w:hint="default" w:ascii="Times New Roman" w:hAnsi="Times New Roman" w:cs="Times New Roman"/>
                <w:b w:val="0"/>
                <w:bCs/>
                <w:i w:val="0"/>
                <w:iCs/>
                <w:color w:val="auto"/>
                <w:sz w:val="20"/>
                <w:szCs w:val="20"/>
              </w:rPr>
              <w:t>Benchmark/reference for the performance comparison</w:t>
            </w:r>
          </w:p>
          <w:p>
            <w:pPr>
              <w:pStyle w:val="4"/>
              <w:keepNext w:val="0"/>
              <w:keepLines w:val="0"/>
              <w:pageBreakBefore w:val="0"/>
              <w:widowControl w:val="0"/>
              <w:numPr>
                <w:ilvl w:val="0"/>
                <w:numId w:val="10"/>
              </w:numPr>
              <w:kinsoku/>
              <w:wordWrap/>
              <w:overflowPunct/>
              <w:topLinePunct w:val="0"/>
              <w:autoSpaceDE/>
              <w:autoSpaceDN/>
              <w:bidi w:val="0"/>
              <w:adjustRightInd/>
              <w:snapToGrid w:val="0"/>
              <w:spacing w:before="95" w:beforeLines="30" w:after="109" w:afterLines="30" w:line="288" w:lineRule="auto"/>
              <w:jc w:val="left"/>
              <w:textAlignment w:val="auto"/>
              <w:rPr>
                <w:rFonts w:hint="default" w:ascii="Times New Roman" w:hAnsi="Times New Roman" w:cs="Times New Roman"/>
                <w:b w:val="0"/>
                <w:bCs/>
                <w:i w:val="0"/>
                <w:iCs/>
                <w:color w:val="auto"/>
                <w:sz w:val="20"/>
                <w:szCs w:val="20"/>
                <w:lang w:eastAsia="zh-CN"/>
              </w:rPr>
            </w:pPr>
            <w:r>
              <w:rPr>
                <w:rFonts w:hint="default" w:ascii="Times New Roman" w:hAnsi="Times New Roman" w:cs="Times New Roman"/>
                <w:b w:val="0"/>
                <w:bCs/>
                <w:i w:val="0"/>
                <w:iCs/>
                <w:color w:val="auto"/>
                <w:sz w:val="20"/>
                <w:szCs w:val="20"/>
              </w:rPr>
              <w:t>Signaling/configuration/measurement/report for model monitoring, e.g., signaling aspects related to assistance information (if supported), Reference signals</w:t>
            </w:r>
          </w:p>
          <w:p>
            <w:pPr>
              <w:pStyle w:val="4"/>
              <w:keepNext w:val="0"/>
              <w:keepLines w:val="0"/>
              <w:pageBreakBefore w:val="0"/>
              <w:widowControl w:val="0"/>
              <w:numPr>
                <w:ilvl w:val="0"/>
                <w:numId w:val="10"/>
              </w:numPr>
              <w:kinsoku/>
              <w:wordWrap/>
              <w:overflowPunct/>
              <w:topLinePunct w:val="0"/>
              <w:autoSpaceDE/>
              <w:autoSpaceDN/>
              <w:bidi w:val="0"/>
              <w:adjustRightInd/>
              <w:snapToGrid w:val="0"/>
              <w:spacing w:before="95" w:beforeLines="30" w:after="109" w:afterLines="30" w:line="288" w:lineRule="auto"/>
              <w:jc w:val="left"/>
              <w:textAlignment w:val="auto"/>
              <w:rPr>
                <w:rFonts w:hint="default" w:ascii="Times New Roman" w:hAnsi="Times New Roman" w:cs="Times New Roman"/>
                <w:b w:val="0"/>
                <w:bCs/>
                <w:i w:val="0"/>
                <w:iCs/>
                <w:color w:val="auto"/>
                <w:sz w:val="20"/>
                <w:szCs w:val="20"/>
                <w:lang w:eastAsia="zh-CN"/>
              </w:rPr>
            </w:pPr>
            <w:r>
              <w:rPr>
                <w:rFonts w:hint="default" w:ascii="Times New Roman" w:hAnsi="Times New Roman" w:cs="Times New Roman"/>
                <w:b w:val="0"/>
                <w:bCs/>
                <w:i w:val="0"/>
                <w:iCs/>
                <w:color w:val="auto"/>
                <w:sz w:val="20"/>
                <w:szCs w:val="20"/>
              </w:rPr>
              <w:t>Other aspect(s) is not precluded</w:t>
            </w:r>
          </w:p>
        </w:tc>
      </w:tr>
    </w:tbl>
    <w:p>
      <w:pPr>
        <w:snapToGrid w:val="0"/>
        <w:spacing w:before="72" w:beforeLines="30" w:after="72" w:afterLines="30" w:line="288" w:lineRule="auto"/>
        <w:jc w:val="both"/>
        <w:rPr>
          <w:rFonts w:hint="eastAsia" w:eastAsia="Times New Roman"/>
          <w:sz w:val="20"/>
          <w:szCs w:val="20"/>
          <w:lang w:val="en-GB"/>
        </w:rPr>
      </w:pPr>
    </w:p>
    <w:p>
      <w:pPr>
        <w:numPr>
          <w:ilvl w:val="0"/>
          <w:numId w:val="5"/>
        </w:numPr>
        <w:tabs>
          <w:tab w:val="clear" w:pos="432"/>
        </w:tabs>
        <w:snapToGrid w:val="0"/>
        <w:spacing w:before="120" w:beforeLines="50" w:after="120" w:afterLines="50" w:line="288" w:lineRule="auto"/>
        <w:ind w:left="567" w:hanging="567"/>
        <w:jc w:val="both"/>
        <w:outlineLvl w:val="0"/>
        <w:rPr>
          <w:b/>
          <w:sz w:val="28"/>
          <w:szCs w:val="28"/>
        </w:rPr>
      </w:pPr>
      <w:r>
        <w:rPr>
          <w:rFonts w:hint="eastAsia"/>
          <w:b/>
          <w:sz w:val="28"/>
          <w:szCs w:val="28"/>
        </w:rPr>
        <w:t xml:space="preserve">AI/ML based beam management </w:t>
      </w:r>
    </w:p>
    <w:p>
      <w:pPr>
        <w:numPr>
          <w:ilvl w:val="1"/>
          <w:numId w:val="5"/>
        </w:numPr>
        <w:tabs>
          <w:tab w:val="clear" w:pos="576"/>
        </w:tabs>
        <w:snapToGrid w:val="0"/>
        <w:spacing w:before="10" w:after="120" w:afterLines="50" w:line="288" w:lineRule="auto"/>
        <w:ind w:left="567" w:hanging="567"/>
        <w:jc w:val="both"/>
        <w:outlineLvl w:val="1"/>
        <w:rPr>
          <w:rFonts w:hint="default"/>
          <w:b/>
          <w:sz w:val="24"/>
          <w:szCs w:val="20"/>
          <w:lang w:val="en-US" w:eastAsia="zh-CN"/>
        </w:rPr>
      </w:pPr>
      <w:r>
        <w:rPr>
          <w:rFonts w:hint="eastAsia"/>
          <w:b/>
          <w:sz w:val="24"/>
          <w:szCs w:val="20"/>
          <w:lang w:val="en-US" w:eastAsia="zh-CN"/>
        </w:rPr>
        <w:t>Model training and inference at UE/NW side</w:t>
      </w:r>
    </w:p>
    <w:p>
      <w:pPr>
        <w:spacing w:before="72" w:beforeLines="30" w:after="72" w:afterLines="30" w:line="288" w:lineRule="auto"/>
        <w:jc w:val="both"/>
        <w:rPr>
          <w:rFonts w:hint="default" w:eastAsia="Times New Roman"/>
          <w:sz w:val="20"/>
          <w:szCs w:val="20"/>
          <w:lang w:val="en-US" w:eastAsia="zh-CN"/>
        </w:rPr>
      </w:pPr>
      <w:r>
        <w:rPr>
          <w:rFonts w:hint="default" w:eastAsia="Times New Roman"/>
          <w:sz w:val="20"/>
          <w:szCs w:val="20"/>
          <w:lang w:val="en-US" w:eastAsia="zh-CN"/>
        </w:rPr>
        <w:t xml:space="preserve">A consensus was reached </w:t>
      </w:r>
      <w:r>
        <w:rPr>
          <w:rFonts w:hint="eastAsia" w:eastAsia="Times New Roman"/>
          <w:sz w:val="20"/>
          <w:szCs w:val="20"/>
          <w:lang w:val="en-US" w:eastAsia="zh-CN"/>
        </w:rPr>
        <w:t>in</w:t>
      </w:r>
      <w:r>
        <w:rPr>
          <w:rFonts w:hint="default" w:eastAsia="Times New Roman"/>
          <w:sz w:val="20"/>
          <w:szCs w:val="20"/>
          <w:lang w:val="en-US" w:eastAsia="zh-CN"/>
        </w:rPr>
        <w:t xml:space="preserve"> RAN1#109-e that for selected sub use cases BM-Case1 and BM-Case2, both NW-side and UE-side AI/ML model inference are supported for further study. In addition, </w:t>
      </w:r>
      <w:r>
        <w:rPr>
          <w:rFonts w:hint="eastAsia" w:eastAsia="Times New Roman"/>
          <w:sz w:val="20"/>
          <w:szCs w:val="20"/>
          <w:lang w:val="en-US" w:eastAsia="zh-CN"/>
        </w:rPr>
        <w:t>in</w:t>
      </w:r>
      <w:r>
        <w:rPr>
          <w:rFonts w:hint="default" w:eastAsia="Times New Roman"/>
          <w:sz w:val="20"/>
          <w:szCs w:val="20"/>
          <w:lang w:val="en-US" w:eastAsia="zh-CN"/>
        </w:rPr>
        <w:t xml:space="preserve"> RAN1#110, companies also agreed that AI/ML model training can be performed at the</w:t>
      </w:r>
      <w:r>
        <w:rPr>
          <w:rFonts w:hint="eastAsia" w:eastAsia="Times New Roman"/>
          <w:sz w:val="20"/>
          <w:szCs w:val="20"/>
          <w:lang w:val="en-US" w:eastAsia="zh-CN"/>
        </w:rPr>
        <w:t xml:space="preserve"> NW side</w:t>
      </w:r>
      <w:r>
        <w:rPr>
          <w:rFonts w:hint="default" w:eastAsia="Times New Roman"/>
          <w:sz w:val="20"/>
          <w:szCs w:val="20"/>
          <w:lang w:val="en-US" w:eastAsia="zh-CN"/>
        </w:rPr>
        <w:t xml:space="preserve"> or at the UE side. However, it is currently unclear whether the AI/ML model training and inference shall be at the same node or different nodes. The following proposal was provided at the RAN1#110 meeting.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2" w:type="dxa"/>
          </w:tcPr>
          <w:p>
            <w:pPr>
              <w:keepNext w:val="0"/>
              <w:keepLines w:val="0"/>
              <w:pageBreakBefore w:val="0"/>
              <w:widowControl w:val="0"/>
              <w:kinsoku/>
              <w:wordWrap/>
              <w:overflowPunct/>
              <w:topLinePunct w:val="0"/>
              <w:autoSpaceDE/>
              <w:autoSpaceDN/>
              <w:bidi w:val="0"/>
              <w:adjustRightInd/>
              <w:snapToGrid w:val="0"/>
              <w:spacing w:before="95" w:beforeLines="30" w:after="95" w:afterLines="30" w:line="288" w:lineRule="auto"/>
              <w:jc w:val="both"/>
              <w:textAlignment w:val="auto"/>
              <w:rPr>
                <w:rFonts w:hint="default" w:ascii="Times New Roman" w:hAnsi="Times New Roman" w:eastAsia="宋体" w:cs="Times New Roman"/>
                <w:b w:val="0"/>
                <w:bCs/>
                <w:i w:val="0"/>
                <w:iCs/>
                <w:color w:val="auto"/>
                <w:kern w:val="2"/>
                <w:sz w:val="20"/>
                <w:szCs w:val="20"/>
                <w:lang w:eastAsia="zh-CN"/>
              </w:rPr>
            </w:pPr>
            <w:r>
              <w:rPr>
                <w:rFonts w:hint="default" w:ascii="Times New Roman" w:hAnsi="Times New Roman" w:eastAsia="宋体" w:cs="Times New Roman"/>
                <w:b w:val="0"/>
                <w:bCs/>
                <w:i w:val="0"/>
                <w:iCs/>
                <w:color w:val="auto"/>
                <w:kern w:val="2"/>
                <w:sz w:val="20"/>
                <w:szCs w:val="20"/>
                <w:u w:val="single"/>
                <w:lang w:eastAsia="zh-CN"/>
              </w:rPr>
              <w:t>Proposal 2.1.1-2d</w:t>
            </w:r>
            <w:r>
              <w:rPr>
                <w:rFonts w:hint="default" w:ascii="Times New Roman" w:hAnsi="Times New Roman" w:eastAsia="宋体" w:cs="Times New Roman"/>
                <w:b w:val="0"/>
                <w:bCs/>
                <w:i w:val="0"/>
                <w:iCs/>
                <w:color w:val="auto"/>
                <w:kern w:val="2"/>
                <w:sz w:val="20"/>
                <w:szCs w:val="20"/>
                <w:lang w:eastAsia="zh-CN"/>
              </w:rPr>
              <w:t>: For the sub use case BM-Case1 and BM-Case2, at least support Alt.1 and Alt.2 for AI/ML model training and inference for further study:</w:t>
            </w:r>
          </w:p>
          <w:p>
            <w:pPr>
              <w:keepNext w:val="0"/>
              <w:keepLines w:val="0"/>
              <w:pageBreakBefore w:val="0"/>
              <w:widowControl w:val="0"/>
              <w:numPr>
                <w:ilvl w:val="0"/>
                <w:numId w:val="6"/>
              </w:numPr>
              <w:kinsoku/>
              <w:wordWrap/>
              <w:overflowPunct/>
              <w:topLinePunct w:val="0"/>
              <w:autoSpaceDE/>
              <w:autoSpaceDN/>
              <w:bidi w:val="0"/>
              <w:adjustRightInd/>
              <w:snapToGrid w:val="0"/>
              <w:spacing w:before="95" w:beforeLines="30" w:after="95" w:afterLines="30" w:line="288" w:lineRule="auto"/>
              <w:ind w:left="840" w:hanging="420"/>
              <w:jc w:val="both"/>
              <w:textAlignment w:val="auto"/>
              <w:rPr>
                <w:rFonts w:hint="default" w:ascii="Times New Roman" w:hAnsi="Times New Roman" w:eastAsia="宋体" w:cs="Times New Roman"/>
                <w:b w:val="0"/>
                <w:bCs/>
                <w:i w:val="0"/>
                <w:iCs/>
                <w:color w:val="auto"/>
                <w:kern w:val="2"/>
                <w:sz w:val="20"/>
                <w:szCs w:val="20"/>
                <w:lang w:eastAsia="zh-CN"/>
              </w:rPr>
            </w:pPr>
            <w:r>
              <w:rPr>
                <w:rFonts w:hint="default" w:ascii="Times New Roman" w:hAnsi="Times New Roman" w:eastAsia="宋体" w:cs="Times New Roman"/>
                <w:b w:val="0"/>
                <w:bCs/>
                <w:i w:val="0"/>
                <w:iCs/>
                <w:color w:val="auto"/>
                <w:kern w:val="2"/>
                <w:sz w:val="20"/>
                <w:szCs w:val="20"/>
                <w:lang w:eastAsia="zh-CN"/>
              </w:rPr>
              <w:t>Alt.1. AI/ML model training and inference at NW side</w:t>
            </w:r>
          </w:p>
          <w:p>
            <w:pPr>
              <w:keepNext w:val="0"/>
              <w:keepLines w:val="0"/>
              <w:pageBreakBefore w:val="0"/>
              <w:widowControl w:val="0"/>
              <w:numPr>
                <w:ilvl w:val="0"/>
                <w:numId w:val="6"/>
              </w:numPr>
              <w:kinsoku/>
              <w:wordWrap/>
              <w:overflowPunct/>
              <w:topLinePunct w:val="0"/>
              <w:autoSpaceDE/>
              <w:autoSpaceDN/>
              <w:bidi w:val="0"/>
              <w:adjustRightInd/>
              <w:snapToGrid w:val="0"/>
              <w:spacing w:before="95" w:beforeLines="30" w:after="95" w:afterLines="30" w:line="288" w:lineRule="auto"/>
              <w:ind w:left="840" w:hanging="420"/>
              <w:jc w:val="both"/>
              <w:textAlignment w:val="auto"/>
              <w:rPr>
                <w:rFonts w:hint="default" w:ascii="Times New Roman" w:hAnsi="Times New Roman" w:eastAsia="宋体" w:cs="Times New Roman"/>
                <w:b w:val="0"/>
                <w:bCs/>
                <w:i w:val="0"/>
                <w:iCs/>
                <w:color w:val="auto"/>
                <w:kern w:val="2"/>
                <w:sz w:val="20"/>
                <w:szCs w:val="20"/>
                <w:lang w:eastAsia="zh-CN"/>
              </w:rPr>
            </w:pPr>
            <w:r>
              <w:rPr>
                <w:rFonts w:hint="default" w:ascii="Times New Roman" w:hAnsi="Times New Roman" w:eastAsia="宋体" w:cs="Times New Roman"/>
                <w:b w:val="0"/>
                <w:bCs/>
                <w:i w:val="0"/>
                <w:iCs/>
                <w:color w:val="auto"/>
                <w:kern w:val="2"/>
                <w:sz w:val="20"/>
                <w:szCs w:val="20"/>
                <w:lang w:eastAsia="zh-CN"/>
              </w:rPr>
              <w:t>Alt.2. AI/ML model training and inference at UE side</w:t>
            </w:r>
          </w:p>
          <w:p>
            <w:pPr>
              <w:keepNext w:val="0"/>
              <w:keepLines w:val="0"/>
              <w:pageBreakBefore w:val="0"/>
              <w:numPr>
                <w:ilvl w:val="0"/>
                <w:numId w:val="6"/>
              </w:numPr>
              <w:kinsoku/>
              <w:wordWrap/>
              <w:overflowPunct/>
              <w:topLinePunct w:val="0"/>
              <w:autoSpaceDE/>
              <w:autoSpaceDN/>
              <w:bidi w:val="0"/>
              <w:adjustRightInd/>
              <w:snapToGrid w:val="0"/>
              <w:spacing w:before="95" w:beforeLines="30" w:after="95" w:afterLines="30" w:line="288" w:lineRule="auto"/>
              <w:ind w:left="840" w:hanging="420"/>
              <w:contextualSpacing/>
              <w:textAlignment w:val="auto"/>
              <w:rPr>
                <w:rFonts w:hint="default" w:ascii="Times New Roman" w:hAnsi="Times New Roman" w:cs="Times New Roman"/>
                <w:b w:val="0"/>
                <w:bCs/>
                <w:color w:val="auto"/>
                <w:sz w:val="20"/>
                <w:szCs w:val="20"/>
                <w:vertAlign w:val="baseline"/>
              </w:rPr>
            </w:pPr>
            <w:r>
              <w:rPr>
                <w:rFonts w:hint="default" w:ascii="Times New Roman" w:hAnsi="Times New Roman" w:eastAsia="宋体" w:cs="Times New Roman"/>
                <w:b w:val="0"/>
                <w:bCs/>
                <w:i w:val="0"/>
                <w:iCs/>
                <w:color w:val="auto"/>
                <w:kern w:val="2"/>
                <w:sz w:val="20"/>
                <w:szCs w:val="20"/>
                <w:lang w:val="en-US" w:eastAsia="zh-CN" w:bidi="ar-SA"/>
              </w:rPr>
              <w:t>FFS: Alt.3. AI/ML model training at NW side, AI/ML model inference at UE side</w:t>
            </w:r>
          </w:p>
        </w:tc>
      </w:tr>
    </w:tbl>
    <w:p>
      <w:pPr>
        <w:spacing w:before="72" w:beforeLines="30" w:after="72" w:afterLines="30" w:line="288" w:lineRule="auto"/>
        <w:jc w:val="both"/>
        <w:rPr>
          <w:rFonts w:hint="eastAsia" w:eastAsia="Times New Roman"/>
          <w:sz w:val="20"/>
          <w:szCs w:val="20"/>
          <w:lang w:val="en-US" w:eastAsia="zh-CN"/>
        </w:rPr>
      </w:pPr>
      <w:r>
        <w:rPr>
          <w:rFonts w:hint="eastAsia" w:eastAsia="Times New Roman"/>
          <w:sz w:val="20"/>
          <w:szCs w:val="20"/>
          <w:lang w:val="en-US" w:eastAsia="zh-CN"/>
        </w:rPr>
        <w:t>D</w:t>
      </w:r>
      <w:r>
        <w:rPr>
          <w:rFonts w:hint="default" w:eastAsia="Times New Roman"/>
          <w:sz w:val="20"/>
          <w:szCs w:val="20"/>
          <w:lang w:val="en-US" w:eastAsia="zh-CN"/>
        </w:rPr>
        <w:t xml:space="preserve">ifferent </w:t>
      </w:r>
      <w:r>
        <w:rPr>
          <w:rFonts w:hint="eastAsia" w:eastAsia="Times New Roman"/>
          <w:sz w:val="20"/>
          <w:szCs w:val="20"/>
          <w:lang w:val="en-US" w:eastAsia="zh-CN"/>
        </w:rPr>
        <w:t xml:space="preserve">alternatives </w:t>
      </w:r>
      <w:r>
        <w:rPr>
          <w:rFonts w:hint="default" w:eastAsia="Times New Roman"/>
          <w:sz w:val="20"/>
          <w:szCs w:val="20"/>
          <w:lang w:val="en-US" w:eastAsia="zh-CN"/>
        </w:rPr>
        <w:t>in this proposal correspond to different levels of collaboration</w:t>
      </w:r>
      <w:r>
        <w:rPr>
          <w:rFonts w:hint="eastAsia" w:eastAsia="Times New Roman"/>
          <w:sz w:val="20"/>
          <w:szCs w:val="20"/>
          <w:lang w:val="en-US" w:eastAsia="zh-CN"/>
        </w:rPr>
        <w:t xml:space="preserve"> as agreed in agenda 9.2.1, where </w:t>
      </w:r>
      <w:r>
        <w:rPr>
          <w:rFonts w:hint="default" w:eastAsia="Times New Roman"/>
          <w:sz w:val="20"/>
          <w:szCs w:val="20"/>
          <w:lang w:val="en-US" w:eastAsia="zh-CN"/>
        </w:rPr>
        <w:t>Alt</w:t>
      </w:r>
      <w:r>
        <w:rPr>
          <w:rFonts w:hint="eastAsia" w:eastAsia="Times New Roman"/>
          <w:sz w:val="20"/>
          <w:szCs w:val="20"/>
          <w:lang w:val="en-US" w:eastAsia="zh-CN"/>
        </w:rPr>
        <w:t>.</w:t>
      </w:r>
      <w:r>
        <w:rPr>
          <w:rFonts w:hint="default" w:eastAsia="Times New Roman"/>
          <w:sz w:val="20"/>
          <w:szCs w:val="20"/>
          <w:lang w:val="en-US" w:eastAsia="zh-CN"/>
        </w:rPr>
        <w:t>1 and Alt</w:t>
      </w:r>
      <w:r>
        <w:rPr>
          <w:rFonts w:hint="eastAsia" w:eastAsia="Times New Roman"/>
          <w:sz w:val="20"/>
          <w:szCs w:val="20"/>
          <w:lang w:val="en-US" w:eastAsia="zh-CN"/>
        </w:rPr>
        <w:t>.</w:t>
      </w:r>
      <w:r>
        <w:rPr>
          <w:rFonts w:hint="default" w:eastAsia="Times New Roman"/>
          <w:sz w:val="20"/>
          <w:szCs w:val="20"/>
          <w:lang w:val="en-US" w:eastAsia="zh-CN"/>
        </w:rPr>
        <w:t>2 correspond to collaboration</w:t>
      </w:r>
      <w:r>
        <w:rPr>
          <w:rFonts w:hint="eastAsia" w:eastAsia="Times New Roman"/>
          <w:sz w:val="20"/>
          <w:szCs w:val="20"/>
          <w:lang w:val="en-US" w:eastAsia="zh-CN"/>
        </w:rPr>
        <w:t xml:space="preserve"> </w:t>
      </w:r>
      <w:r>
        <w:rPr>
          <w:rFonts w:hint="default" w:eastAsia="Times New Roman"/>
          <w:sz w:val="20"/>
          <w:szCs w:val="20"/>
          <w:lang w:val="en-US" w:eastAsia="zh-CN"/>
        </w:rPr>
        <w:t>level y, and Alt</w:t>
      </w:r>
      <w:r>
        <w:rPr>
          <w:rFonts w:hint="eastAsia" w:eastAsia="Times New Roman"/>
          <w:sz w:val="20"/>
          <w:szCs w:val="20"/>
          <w:lang w:val="en-US" w:eastAsia="zh-CN"/>
        </w:rPr>
        <w:t>.</w:t>
      </w:r>
      <w:r>
        <w:rPr>
          <w:rFonts w:hint="default" w:eastAsia="Times New Roman"/>
          <w:sz w:val="20"/>
          <w:szCs w:val="20"/>
          <w:lang w:val="en-US" w:eastAsia="zh-CN"/>
        </w:rPr>
        <w:t>3 corresponds to collaboration</w:t>
      </w:r>
      <w:r>
        <w:rPr>
          <w:rFonts w:hint="eastAsia" w:eastAsia="Times New Roman"/>
          <w:sz w:val="20"/>
          <w:szCs w:val="20"/>
          <w:lang w:val="en-US" w:eastAsia="zh-CN"/>
        </w:rPr>
        <w:t xml:space="preserve"> </w:t>
      </w:r>
      <w:r>
        <w:rPr>
          <w:rFonts w:hint="default" w:eastAsia="Times New Roman"/>
          <w:sz w:val="20"/>
          <w:szCs w:val="20"/>
          <w:lang w:val="en-US" w:eastAsia="zh-CN"/>
        </w:rPr>
        <w:t>level z. If all collaboration levels can be supported</w:t>
      </w:r>
      <w:r>
        <w:rPr>
          <w:rFonts w:hint="eastAsia" w:eastAsia="Times New Roman"/>
          <w:sz w:val="20"/>
          <w:szCs w:val="20"/>
          <w:lang w:val="en-US" w:eastAsia="zh-CN"/>
        </w:rPr>
        <w:t xml:space="preserve"> in agenda 9.2.1</w:t>
      </w:r>
      <w:r>
        <w:rPr>
          <w:rFonts w:hint="default" w:eastAsia="Times New Roman"/>
          <w:sz w:val="20"/>
          <w:szCs w:val="20"/>
          <w:lang w:val="en-US" w:eastAsia="zh-CN"/>
        </w:rPr>
        <w:t xml:space="preserve">, all </w:t>
      </w:r>
      <w:r>
        <w:rPr>
          <w:rFonts w:hint="eastAsia" w:eastAsia="Times New Roman"/>
          <w:sz w:val="20"/>
          <w:szCs w:val="20"/>
          <w:lang w:val="en-US" w:eastAsia="zh-CN"/>
        </w:rPr>
        <w:t xml:space="preserve">alternatives in this proposal </w:t>
      </w:r>
      <w:r>
        <w:rPr>
          <w:rFonts w:hint="default" w:eastAsia="Times New Roman"/>
          <w:sz w:val="20"/>
          <w:szCs w:val="20"/>
          <w:lang w:val="en-US" w:eastAsia="zh-CN"/>
        </w:rPr>
        <w:t>should be kept open</w:t>
      </w:r>
      <w:r>
        <w:rPr>
          <w:rFonts w:hint="eastAsia" w:eastAsia="Times New Roman"/>
          <w:sz w:val="20"/>
          <w:szCs w:val="20"/>
          <w:lang w:val="en-US" w:eastAsia="zh-CN"/>
        </w:rPr>
        <w:t xml:space="preserve"> since obvious </w:t>
      </w:r>
      <w:r>
        <w:rPr>
          <w:rFonts w:hint="default" w:eastAsia="Times New Roman"/>
          <w:sz w:val="20"/>
          <w:szCs w:val="20"/>
          <w:lang w:val="en-US" w:eastAsia="zh-CN"/>
        </w:rPr>
        <w:t xml:space="preserve">advantages can be observed for all </w:t>
      </w:r>
      <w:r>
        <w:rPr>
          <w:rFonts w:hint="eastAsia" w:eastAsia="Times New Roman"/>
          <w:sz w:val="20"/>
          <w:szCs w:val="20"/>
          <w:lang w:val="en-US" w:eastAsia="zh-CN"/>
        </w:rPr>
        <w:t>alternatives</w:t>
      </w:r>
      <w:r>
        <w:rPr>
          <w:rFonts w:hint="default" w:eastAsia="Times New Roman"/>
          <w:sz w:val="20"/>
          <w:szCs w:val="20"/>
          <w:lang w:val="en-US" w:eastAsia="zh-CN"/>
        </w:rPr>
        <w:t xml:space="preserve">. </w:t>
      </w:r>
      <w:r>
        <w:rPr>
          <w:rFonts w:hint="eastAsia" w:eastAsia="Times New Roman"/>
          <w:sz w:val="20"/>
          <w:szCs w:val="20"/>
          <w:lang w:val="en-US" w:eastAsia="zh-CN"/>
        </w:rPr>
        <w:t>S</w:t>
      </w:r>
      <w:r>
        <w:rPr>
          <w:rFonts w:hint="default" w:eastAsia="Times New Roman"/>
          <w:sz w:val="20"/>
          <w:szCs w:val="20"/>
          <w:lang w:val="en-US" w:eastAsia="zh-CN"/>
        </w:rPr>
        <w:t>pecifically, Alt</w:t>
      </w:r>
      <w:r>
        <w:rPr>
          <w:rFonts w:hint="eastAsia" w:eastAsia="Times New Roman"/>
          <w:sz w:val="20"/>
          <w:szCs w:val="20"/>
          <w:lang w:val="en-US" w:eastAsia="zh-CN"/>
        </w:rPr>
        <w:t>.</w:t>
      </w:r>
      <w:r>
        <w:rPr>
          <w:rFonts w:hint="default" w:eastAsia="Times New Roman"/>
          <w:sz w:val="20"/>
          <w:szCs w:val="20"/>
          <w:lang w:val="en-US" w:eastAsia="zh-CN"/>
        </w:rPr>
        <w:t>1 and Alt</w:t>
      </w:r>
      <w:r>
        <w:rPr>
          <w:rFonts w:hint="eastAsia" w:eastAsia="Times New Roman"/>
          <w:sz w:val="20"/>
          <w:szCs w:val="20"/>
          <w:lang w:val="en-US" w:eastAsia="zh-CN"/>
        </w:rPr>
        <w:t>.</w:t>
      </w:r>
      <w:r>
        <w:rPr>
          <w:rFonts w:hint="default" w:eastAsia="Times New Roman"/>
          <w:sz w:val="20"/>
          <w:szCs w:val="20"/>
          <w:lang w:val="en-US" w:eastAsia="zh-CN"/>
        </w:rPr>
        <w:t xml:space="preserve">2 are relatively straightforward model deployment methods that </w:t>
      </w:r>
      <w:r>
        <w:rPr>
          <w:rFonts w:hint="eastAsia" w:eastAsia="Times New Roman"/>
          <w:sz w:val="20"/>
          <w:szCs w:val="20"/>
          <w:lang w:val="en-US" w:eastAsia="zh-CN"/>
        </w:rPr>
        <w:t xml:space="preserve">can </w:t>
      </w:r>
      <w:r>
        <w:rPr>
          <w:rFonts w:hint="default" w:eastAsia="Times New Roman"/>
          <w:sz w:val="20"/>
          <w:szCs w:val="20"/>
          <w:lang w:val="en-US" w:eastAsia="zh-CN"/>
        </w:rPr>
        <w:t>avoid proprietary model disclosure issues and additional model-related signaling interactions. In Alt</w:t>
      </w:r>
      <w:r>
        <w:rPr>
          <w:rFonts w:hint="eastAsia" w:eastAsia="Times New Roman"/>
          <w:sz w:val="20"/>
          <w:szCs w:val="20"/>
          <w:lang w:val="en-US" w:eastAsia="zh-CN"/>
        </w:rPr>
        <w:t>.</w:t>
      </w:r>
      <w:r>
        <w:rPr>
          <w:rFonts w:hint="default" w:eastAsia="Times New Roman"/>
          <w:sz w:val="20"/>
          <w:szCs w:val="20"/>
          <w:lang w:val="en-US" w:eastAsia="zh-CN"/>
        </w:rPr>
        <w:t xml:space="preserve">3, model training and model inference are performed on different nodes, which means that the </w:t>
      </w:r>
      <w:r>
        <w:rPr>
          <w:rFonts w:hint="eastAsia" w:eastAsia="Times New Roman"/>
          <w:sz w:val="20"/>
          <w:szCs w:val="20"/>
          <w:lang w:val="en-US" w:eastAsia="zh-CN"/>
        </w:rPr>
        <w:t>well-</w:t>
      </w:r>
      <w:r>
        <w:rPr>
          <w:rFonts w:hint="default" w:eastAsia="Times New Roman"/>
          <w:sz w:val="20"/>
          <w:szCs w:val="20"/>
          <w:lang w:val="en-US" w:eastAsia="zh-CN"/>
        </w:rPr>
        <w:t>trained model needs to be transferred between different nodes.</w:t>
      </w:r>
      <w:r>
        <w:rPr>
          <w:rFonts w:hint="eastAsia" w:eastAsia="Times New Roman"/>
          <w:sz w:val="20"/>
          <w:szCs w:val="20"/>
          <w:lang w:val="en-US" w:eastAsia="zh-CN"/>
        </w:rPr>
        <w:t xml:space="preserve"> </w:t>
      </w:r>
    </w:p>
    <w:p>
      <w:pPr>
        <w:spacing w:before="72" w:beforeLines="30" w:after="72" w:afterLines="30" w:line="288" w:lineRule="auto"/>
        <w:jc w:val="both"/>
        <w:rPr>
          <w:rFonts w:hint="eastAsia" w:eastAsia="Times New Roman"/>
          <w:sz w:val="20"/>
          <w:szCs w:val="20"/>
          <w:lang w:val="en-US" w:eastAsia="zh-CN"/>
        </w:rPr>
      </w:pPr>
      <w:r>
        <w:rPr>
          <w:rFonts w:hint="eastAsia" w:eastAsia="Times New Roman"/>
          <w:sz w:val="20"/>
          <w:szCs w:val="20"/>
          <w:lang w:val="en-US" w:eastAsia="zh-CN"/>
        </w:rPr>
        <w:t>Alt.3 outperforms Alt.1 and Alt.2 in terms of reporting overhead or beam prediction performance, despite the potential risk of proprietary AI/ML model disclosure. Specifically, compared with the NW-side model inference in Alt.1, the UE doesn</w:t>
      </w:r>
      <w:r>
        <w:rPr>
          <w:rFonts w:hint="default" w:eastAsia="Times New Roman"/>
          <w:sz w:val="20"/>
          <w:szCs w:val="20"/>
          <w:lang w:val="en-US" w:eastAsia="zh-CN"/>
        </w:rPr>
        <w:t>’</w:t>
      </w:r>
      <w:r>
        <w:rPr>
          <w:rFonts w:hint="eastAsia" w:eastAsia="Times New Roman"/>
          <w:sz w:val="20"/>
          <w:szCs w:val="20"/>
          <w:lang w:val="en-US" w:eastAsia="zh-CN"/>
        </w:rPr>
        <w:t xml:space="preserve">t need to feedback much measured beam quality information to gNB as model inputs, and thus the reporting overhead associated with the UE-side model inference in Alt.3 can be significantly reduced. Compared with the UE-side model training in Alt.2, the NW-side model training in Alt.3 could benefit from </w:t>
      </w:r>
      <w:r>
        <w:rPr>
          <w:rFonts w:hint="default" w:eastAsia="Times New Roman"/>
          <w:sz w:val="20"/>
          <w:szCs w:val="20"/>
          <w:lang w:val="en-US" w:eastAsia="zh-CN"/>
        </w:rPr>
        <w:t xml:space="preserve">the powerful computing power and sufficient storage resources </w:t>
      </w:r>
      <w:r>
        <w:rPr>
          <w:rFonts w:hint="eastAsia" w:eastAsia="Times New Roman"/>
          <w:sz w:val="20"/>
          <w:szCs w:val="20"/>
          <w:lang w:val="en-US" w:eastAsia="zh-CN"/>
        </w:rPr>
        <w:t>of gNB. Besides, since t</w:t>
      </w:r>
      <w:r>
        <w:rPr>
          <w:rFonts w:hint="default" w:eastAsia="Times New Roman"/>
          <w:sz w:val="20"/>
          <w:szCs w:val="20"/>
          <w:lang w:val="en-US" w:eastAsia="zh-CN"/>
        </w:rPr>
        <w:t xml:space="preserve">he channel environment </w:t>
      </w:r>
      <w:r>
        <w:rPr>
          <w:rFonts w:hint="eastAsia" w:eastAsia="Times New Roman"/>
          <w:sz w:val="20"/>
          <w:szCs w:val="20"/>
          <w:lang w:val="en-US" w:eastAsia="zh-CN"/>
        </w:rPr>
        <w:t xml:space="preserve">or </w:t>
      </w:r>
      <w:r>
        <w:rPr>
          <w:rFonts w:hint="default" w:eastAsia="Times New Roman"/>
          <w:sz w:val="20"/>
          <w:szCs w:val="20"/>
          <w:lang w:val="en-US" w:eastAsia="zh-CN"/>
        </w:rPr>
        <w:t>antenna configuration</w:t>
      </w:r>
      <w:r>
        <w:rPr>
          <w:rFonts w:hint="eastAsia" w:eastAsia="Times New Roman"/>
          <w:sz w:val="20"/>
          <w:szCs w:val="20"/>
          <w:lang w:val="en-US" w:eastAsia="zh-CN"/>
        </w:rPr>
        <w:t xml:space="preserve"> </w:t>
      </w:r>
      <w:r>
        <w:rPr>
          <w:rFonts w:hint="default" w:eastAsia="Times New Roman"/>
          <w:sz w:val="20"/>
          <w:szCs w:val="20"/>
          <w:lang w:val="en-US" w:eastAsia="zh-CN"/>
        </w:rPr>
        <w:t>of different cells</w:t>
      </w:r>
      <w:r>
        <w:rPr>
          <w:rFonts w:hint="eastAsia" w:eastAsia="Times New Roman"/>
          <w:sz w:val="20"/>
          <w:szCs w:val="20"/>
          <w:lang w:val="en-US" w:eastAsia="zh-CN"/>
        </w:rPr>
        <w:t xml:space="preserve"> </w:t>
      </w:r>
      <w:r>
        <w:rPr>
          <w:rFonts w:hint="default" w:eastAsia="Times New Roman"/>
          <w:sz w:val="20"/>
          <w:szCs w:val="20"/>
          <w:lang w:val="en-US" w:eastAsia="zh-CN"/>
        </w:rPr>
        <w:t>may be different</w:t>
      </w:r>
      <w:r>
        <w:rPr>
          <w:rFonts w:hint="eastAsia" w:eastAsia="Times New Roman"/>
          <w:sz w:val="20"/>
          <w:szCs w:val="20"/>
          <w:lang w:val="en-US" w:eastAsia="zh-CN"/>
        </w:rPr>
        <w:t xml:space="preserve">, </w:t>
      </w:r>
      <w:r>
        <w:rPr>
          <w:rFonts w:hint="default" w:eastAsia="Times New Roman"/>
          <w:sz w:val="20"/>
          <w:szCs w:val="20"/>
          <w:lang w:val="en-US" w:eastAsia="zh-CN"/>
        </w:rPr>
        <w:t>it is difficult to require the model trained on the UE side to work well in different cells</w:t>
      </w:r>
      <w:r>
        <w:rPr>
          <w:rFonts w:hint="eastAsia" w:eastAsia="Times New Roman"/>
          <w:sz w:val="20"/>
          <w:szCs w:val="20"/>
          <w:lang w:val="en-US" w:eastAsia="zh-CN"/>
        </w:rPr>
        <w:t>, resulting in beam prediction performance loss or frequently model switching/update. However, if the AI/ML model is site-specific trained and transferred to UEs accessed to the cell, the beam prediction performance can be guaranteed with better environmental adaptability. Therefore, if model transfer is supported in agenda 9.2.1, both Alt.1, Alt.2, and Alt.3 can be supported for further study with potential applicability in different scenarios.</w:t>
      </w:r>
    </w:p>
    <w:p>
      <w:pPr>
        <w:spacing w:before="72" w:beforeLines="30" w:after="72" w:afterLines="30" w:line="288" w:lineRule="auto"/>
        <w:jc w:val="both"/>
        <w:rPr>
          <w:rFonts w:hint="default" w:eastAsia="Times New Roman"/>
          <w:i/>
          <w:iCs/>
          <w:sz w:val="20"/>
          <w:szCs w:val="20"/>
          <w:lang w:val="en-US" w:eastAsia="zh-CN"/>
        </w:rPr>
      </w:pPr>
      <w:r>
        <w:rPr>
          <w:rFonts w:hint="eastAsia" w:eastAsia="Times New Roman"/>
          <w:b/>
          <w:bCs/>
          <w:i/>
          <w:iCs/>
          <w:sz w:val="20"/>
          <w:szCs w:val="20"/>
          <w:lang w:val="en-US" w:eastAsia="zh-CN"/>
        </w:rPr>
        <w:t xml:space="preserve">Observation 1: </w:t>
      </w:r>
      <w:r>
        <w:rPr>
          <w:rFonts w:hint="eastAsia" w:eastAsia="Times New Roman"/>
          <w:b w:val="0"/>
          <w:bCs w:val="0"/>
          <w:i/>
          <w:iCs/>
          <w:sz w:val="20"/>
          <w:szCs w:val="20"/>
          <w:lang w:val="en-US" w:eastAsia="zh-CN"/>
        </w:rPr>
        <w:t>For AI/ML model training and inference, Alt.3 outperforms Alt.1 and Alt.2 in terms of reporting overhead and/or beam prediction performance.</w:t>
      </w:r>
    </w:p>
    <w:p>
      <w:pPr>
        <w:spacing w:before="72" w:beforeLines="30" w:after="72" w:afterLines="30" w:line="288" w:lineRule="auto"/>
        <w:jc w:val="both"/>
        <w:rPr>
          <w:rFonts w:hint="eastAsia" w:eastAsia="Times New Roman"/>
          <w:i/>
          <w:iCs/>
          <w:sz w:val="20"/>
          <w:szCs w:val="20"/>
          <w:lang w:val="en-US" w:eastAsia="zh-CN"/>
        </w:rPr>
      </w:pPr>
      <w:r>
        <w:rPr>
          <w:rFonts w:hint="eastAsia" w:eastAsia="Times New Roman"/>
          <w:b/>
          <w:bCs/>
          <w:i/>
          <w:iCs/>
          <w:sz w:val="20"/>
          <w:szCs w:val="20"/>
          <w:lang w:val="en-US" w:eastAsia="zh-CN"/>
        </w:rPr>
        <w:t>Proposal 1:</w:t>
      </w:r>
      <w:r>
        <w:rPr>
          <w:rFonts w:hint="eastAsia" w:eastAsia="Times New Roman"/>
          <w:i/>
          <w:iCs/>
          <w:sz w:val="20"/>
          <w:szCs w:val="20"/>
          <w:lang w:val="en-US" w:eastAsia="zh-CN"/>
        </w:rPr>
        <w:t xml:space="preserve"> If model transfer is supported in agenda 9.2.1, both Alt.1, Alt.2, and Alt.3 can be supported for further study with potential applicability in different scenarios.</w:t>
      </w:r>
    </w:p>
    <w:p>
      <w:pPr>
        <w:spacing w:before="72" w:beforeLines="30" w:after="72" w:afterLines="30" w:line="288" w:lineRule="auto"/>
        <w:jc w:val="both"/>
        <w:rPr>
          <w:rFonts w:hint="default" w:eastAsia="Times New Roman"/>
          <w:i/>
          <w:iCs/>
          <w:sz w:val="20"/>
          <w:szCs w:val="20"/>
          <w:lang w:val="en-US" w:eastAsia="zh-CN"/>
        </w:rPr>
      </w:pPr>
    </w:p>
    <w:p>
      <w:pPr>
        <w:numPr>
          <w:ilvl w:val="1"/>
          <w:numId w:val="5"/>
        </w:numPr>
        <w:tabs>
          <w:tab w:val="clear" w:pos="576"/>
        </w:tabs>
        <w:snapToGrid w:val="0"/>
        <w:spacing w:before="10" w:after="120" w:afterLines="50" w:line="288" w:lineRule="auto"/>
        <w:ind w:left="567" w:hanging="567"/>
        <w:jc w:val="both"/>
        <w:outlineLvl w:val="1"/>
        <w:rPr>
          <w:b/>
          <w:sz w:val="24"/>
          <w:szCs w:val="20"/>
        </w:rPr>
      </w:pPr>
      <w:r>
        <w:rPr>
          <w:rFonts w:hint="eastAsia"/>
          <w:b/>
          <w:sz w:val="24"/>
          <w:szCs w:val="20"/>
        </w:rPr>
        <w:t>Selection of sub use cases</w:t>
      </w:r>
    </w:p>
    <w:p>
      <w:pPr>
        <w:snapToGrid w:val="0"/>
        <w:spacing w:before="72" w:beforeLines="30" w:after="72" w:afterLines="30" w:line="288" w:lineRule="auto"/>
        <w:jc w:val="both"/>
        <w:rPr>
          <w:rFonts w:hint="default" w:eastAsia="Times New Roman"/>
          <w:sz w:val="20"/>
          <w:szCs w:val="20"/>
          <w:lang w:val="en-US" w:eastAsia="zh-CN"/>
        </w:rPr>
      </w:pPr>
      <w:r>
        <w:rPr>
          <w:rFonts w:hint="eastAsia" w:eastAsia="Times New Roman"/>
          <w:sz w:val="20"/>
          <w:szCs w:val="20"/>
          <w:lang w:val="en-GB"/>
        </w:rPr>
        <w:t>Table I categorizes the sub use cases for AI/ML-based beam management with different inputs, different outputs, different functionalities and so on. All of them have been initially discussed in RAN1#109-e. Besides, BM-Case1 and BM-Case2 are supported by majority companies while other sub use cases are supported by a limited number of companies.</w:t>
      </w:r>
      <w:r>
        <w:rPr>
          <w:rFonts w:hint="eastAsia" w:eastAsia="Times New Roman"/>
          <w:sz w:val="20"/>
          <w:szCs w:val="20"/>
          <w:lang w:val="en-US" w:eastAsia="zh-CN"/>
        </w:rPr>
        <w:t xml:space="preserve"> In RAN1#110, whether to support any other sub use cases was further discussed but no agreement was achieved.</w:t>
      </w:r>
    </w:p>
    <w:p>
      <w:pPr>
        <w:snapToGrid w:val="0"/>
        <w:spacing w:before="72" w:beforeLines="30" w:after="72" w:afterLines="30" w:line="288" w:lineRule="auto"/>
        <w:jc w:val="center"/>
        <w:rPr>
          <w:rFonts w:eastAsia="Times New Roman"/>
          <w:sz w:val="20"/>
          <w:szCs w:val="20"/>
          <w:lang w:val="en-GB"/>
        </w:rPr>
      </w:pPr>
      <w:r>
        <w:rPr>
          <w:rFonts w:hint="eastAsia" w:eastAsia="Times New Roman"/>
          <w:sz w:val="20"/>
          <w:szCs w:val="20"/>
          <w:lang w:val="en-GB"/>
        </w:rPr>
        <w:t>Table I: Sub use cases and categories</w:t>
      </w:r>
    </w:p>
    <w:tbl>
      <w:tblPr>
        <w:tblStyle w:val="24"/>
        <w:tblW w:w="43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4"/>
        <w:gridCol w:w="61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265" w:type="pct"/>
            <w:vAlign w:val="center"/>
          </w:tcPr>
          <w:p>
            <w:pPr>
              <w:pStyle w:val="4"/>
              <w:keepNext w:val="0"/>
              <w:keepLines w:val="0"/>
              <w:pageBreakBefore w:val="0"/>
              <w:widowControl w:val="0"/>
              <w:kinsoku/>
              <w:wordWrap/>
              <w:overflowPunct/>
              <w:topLinePunct w:val="0"/>
              <w:autoSpaceDE/>
              <w:autoSpaceDN/>
              <w:bidi w:val="0"/>
              <w:adjustRightInd/>
              <w:snapToGrid w:val="0"/>
              <w:spacing w:before="72" w:beforeLines="30" w:after="72" w:afterLines="30" w:line="288" w:lineRule="auto"/>
              <w:jc w:val="center"/>
              <w:textAlignment w:val="auto"/>
              <w:rPr>
                <w:color w:val="auto"/>
                <w:sz w:val="20"/>
              </w:rPr>
            </w:pPr>
            <w:r>
              <w:rPr>
                <w:color w:val="auto"/>
                <w:sz w:val="20"/>
              </w:rPr>
              <w:t>Category</w:t>
            </w:r>
          </w:p>
        </w:tc>
        <w:tc>
          <w:tcPr>
            <w:tcW w:w="3734" w:type="pct"/>
            <w:vAlign w:val="center"/>
          </w:tcPr>
          <w:p>
            <w:pPr>
              <w:pStyle w:val="4"/>
              <w:keepNext w:val="0"/>
              <w:keepLines w:val="0"/>
              <w:pageBreakBefore w:val="0"/>
              <w:widowControl w:val="0"/>
              <w:kinsoku/>
              <w:wordWrap/>
              <w:overflowPunct/>
              <w:topLinePunct w:val="0"/>
              <w:autoSpaceDE/>
              <w:autoSpaceDN/>
              <w:bidi w:val="0"/>
              <w:adjustRightInd/>
              <w:snapToGrid w:val="0"/>
              <w:spacing w:before="72" w:beforeLines="30" w:after="72" w:afterLines="30" w:line="288" w:lineRule="auto"/>
              <w:jc w:val="center"/>
              <w:textAlignment w:val="auto"/>
              <w:rPr>
                <w:color w:val="auto"/>
                <w:sz w:val="20"/>
              </w:rPr>
            </w:pPr>
            <w:r>
              <w:rPr>
                <w:color w:val="auto"/>
                <w:sz w:val="20"/>
              </w:rPr>
              <w:t>Sub use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265" w:type="pct"/>
            <w:vMerge w:val="restart"/>
            <w:vAlign w:val="center"/>
          </w:tcPr>
          <w:p>
            <w:pPr>
              <w:pStyle w:val="4"/>
              <w:keepNext w:val="0"/>
              <w:keepLines w:val="0"/>
              <w:pageBreakBefore w:val="0"/>
              <w:widowControl w:val="0"/>
              <w:kinsoku/>
              <w:wordWrap/>
              <w:overflowPunct/>
              <w:topLinePunct w:val="0"/>
              <w:autoSpaceDE/>
              <w:autoSpaceDN/>
              <w:bidi w:val="0"/>
              <w:adjustRightInd/>
              <w:snapToGrid w:val="0"/>
              <w:spacing w:before="72" w:beforeLines="30" w:after="72" w:afterLines="30" w:line="288" w:lineRule="auto"/>
              <w:textAlignment w:val="auto"/>
              <w:rPr>
                <w:color w:val="auto"/>
                <w:sz w:val="20"/>
              </w:rPr>
            </w:pPr>
            <w:r>
              <w:rPr>
                <w:color w:val="auto"/>
                <w:sz w:val="20"/>
              </w:rPr>
              <w:t>Cat1:</w:t>
            </w:r>
          </w:p>
          <w:p>
            <w:pPr>
              <w:pStyle w:val="4"/>
              <w:keepNext w:val="0"/>
              <w:keepLines w:val="0"/>
              <w:pageBreakBefore w:val="0"/>
              <w:widowControl w:val="0"/>
              <w:kinsoku/>
              <w:wordWrap/>
              <w:overflowPunct/>
              <w:topLinePunct w:val="0"/>
              <w:autoSpaceDE/>
              <w:autoSpaceDN/>
              <w:bidi w:val="0"/>
              <w:adjustRightInd/>
              <w:snapToGrid w:val="0"/>
              <w:spacing w:before="72" w:beforeLines="30" w:after="72" w:afterLines="30" w:line="288" w:lineRule="auto"/>
              <w:textAlignment w:val="auto"/>
              <w:rPr>
                <w:color w:val="auto"/>
                <w:sz w:val="20"/>
              </w:rPr>
            </w:pPr>
            <w:r>
              <w:rPr>
                <w:color w:val="auto"/>
                <w:sz w:val="20"/>
              </w:rPr>
              <w:t>Spatial-domain DL beam prediction</w:t>
            </w:r>
          </w:p>
        </w:tc>
        <w:tc>
          <w:tcPr>
            <w:tcW w:w="3734" w:type="pct"/>
            <w:vAlign w:val="center"/>
          </w:tcPr>
          <w:p>
            <w:pPr>
              <w:pStyle w:val="4"/>
              <w:keepNext w:val="0"/>
              <w:keepLines w:val="0"/>
              <w:pageBreakBefore w:val="0"/>
              <w:widowControl w:val="0"/>
              <w:kinsoku/>
              <w:wordWrap/>
              <w:overflowPunct/>
              <w:topLinePunct w:val="0"/>
              <w:autoSpaceDE/>
              <w:autoSpaceDN/>
              <w:bidi w:val="0"/>
              <w:adjustRightInd/>
              <w:snapToGrid w:val="0"/>
              <w:spacing w:before="72" w:beforeLines="30" w:after="72" w:afterLines="30" w:line="288" w:lineRule="auto"/>
              <w:textAlignment w:val="auto"/>
              <w:rPr>
                <w:color w:val="auto"/>
                <w:sz w:val="20"/>
              </w:rPr>
            </w:pPr>
            <w:r>
              <w:rPr>
                <w:b/>
                <w:bCs/>
                <w:color w:val="auto"/>
                <w:sz w:val="20"/>
              </w:rPr>
              <w:t xml:space="preserve">BM-Case1: </w:t>
            </w:r>
            <w:r>
              <w:rPr>
                <w:color w:val="auto"/>
                <w:sz w:val="20"/>
              </w:rPr>
              <w:t>Spatial-domain DL beam prediction for Set A of beams based on measurement results of Set B of beams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265" w:type="pct"/>
            <w:vMerge w:val="continue"/>
            <w:vAlign w:val="center"/>
          </w:tcPr>
          <w:p>
            <w:pPr>
              <w:pStyle w:val="4"/>
              <w:keepNext w:val="0"/>
              <w:keepLines w:val="0"/>
              <w:pageBreakBefore w:val="0"/>
              <w:widowControl w:val="0"/>
              <w:kinsoku/>
              <w:wordWrap/>
              <w:overflowPunct/>
              <w:topLinePunct w:val="0"/>
              <w:autoSpaceDE/>
              <w:autoSpaceDN/>
              <w:bidi w:val="0"/>
              <w:adjustRightInd/>
              <w:snapToGrid w:val="0"/>
              <w:spacing w:before="72" w:beforeLines="30" w:after="72" w:afterLines="30" w:line="288" w:lineRule="auto"/>
              <w:textAlignment w:val="auto"/>
              <w:rPr>
                <w:color w:val="auto"/>
                <w:sz w:val="20"/>
              </w:rPr>
            </w:pPr>
          </w:p>
        </w:tc>
        <w:tc>
          <w:tcPr>
            <w:tcW w:w="3734" w:type="pct"/>
            <w:vAlign w:val="center"/>
          </w:tcPr>
          <w:p>
            <w:pPr>
              <w:pStyle w:val="4"/>
              <w:keepNext w:val="0"/>
              <w:keepLines w:val="0"/>
              <w:pageBreakBefore w:val="0"/>
              <w:widowControl w:val="0"/>
              <w:kinsoku/>
              <w:wordWrap/>
              <w:overflowPunct/>
              <w:topLinePunct w:val="0"/>
              <w:autoSpaceDE/>
              <w:autoSpaceDN/>
              <w:bidi w:val="0"/>
              <w:adjustRightInd/>
              <w:snapToGrid w:val="0"/>
              <w:spacing w:before="72" w:beforeLines="30" w:after="72" w:afterLines="30" w:line="288" w:lineRule="auto"/>
              <w:textAlignment w:val="auto"/>
              <w:rPr>
                <w:color w:val="auto"/>
                <w:sz w:val="20"/>
              </w:rPr>
            </w:pPr>
            <w:r>
              <w:rPr>
                <w:color w:val="auto"/>
                <w:sz w:val="20"/>
              </w:rPr>
              <w:t>BM-Case3: Beam prediction for higher frequency band (e.g., a band in FR2) based on measurement results of lower frequency band(s) (e.g., a band in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265" w:type="pct"/>
            <w:vMerge w:val="continue"/>
            <w:vAlign w:val="center"/>
          </w:tcPr>
          <w:p>
            <w:pPr>
              <w:pStyle w:val="4"/>
              <w:keepNext w:val="0"/>
              <w:keepLines w:val="0"/>
              <w:pageBreakBefore w:val="0"/>
              <w:widowControl w:val="0"/>
              <w:kinsoku/>
              <w:wordWrap/>
              <w:overflowPunct/>
              <w:topLinePunct w:val="0"/>
              <w:autoSpaceDE/>
              <w:autoSpaceDN/>
              <w:bidi w:val="0"/>
              <w:adjustRightInd/>
              <w:snapToGrid w:val="0"/>
              <w:spacing w:before="72" w:beforeLines="30" w:after="72" w:afterLines="30" w:line="288" w:lineRule="auto"/>
              <w:textAlignment w:val="auto"/>
              <w:rPr>
                <w:color w:val="auto"/>
                <w:sz w:val="20"/>
              </w:rPr>
            </w:pPr>
          </w:p>
        </w:tc>
        <w:tc>
          <w:tcPr>
            <w:tcW w:w="3734" w:type="pct"/>
            <w:vAlign w:val="center"/>
          </w:tcPr>
          <w:p>
            <w:pPr>
              <w:pStyle w:val="4"/>
              <w:keepNext w:val="0"/>
              <w:keepLines w:val="0"/>
              <w:pageBreakBefore w:val="0"/>
              <w:widowControl w:val="0"/>
              <w:kinsoku/>
              <w:wordWrap/>
              <w:overflowPunct/>
              <w:topLinePunct w:val="0"/>
              <w:autoSpaceDE/>
              <w:autoSpaceDN/>
              <w:bidi w:val="0"/>
              <w:adjustRightInd/>
              <w:snapToGrid w:val="0"/>
              <w:spacing w:before="72" w:beforeLines="30" w:after="72" w:afterLines="30" w:line="288" w:lineRule="auto"/>
              <w:textAlignment w:val="auto"/>
              <w:rPr>
                <w:color w:val="auto"/>
                <w:sz w:val="20"/>
              </w:rPr>
            </w:pPr>
            <w:r>
              <w:rPr>
                <w:color w:val="auto"/>
                <w:sz w:val="20"/>
              </w:rPr>
              <w:t>BM-Case4: Beam prediction based on UE positioning/trajectory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265" w:type="pct"/>
            <w:vMerge w:val="continue"/>
            <w:vAlign w:val="center"/>
          </w:tcPr>
          <w:p>
            <w:pPr>
              <w:pStyle w:val="4"/>
              <w:keepNext w:val="0"/>
              <w:keepLines w:val="0"/>
              <w:pageBreakBefore w:val="0"/>
              <w:widowControl w:val="0"/>
              <w:kinsoku/>
              <w:wordWrap/>
              <w:overflowPunct/>
              <w:topLinePunct w:val="0"/>
              <w:autoSpaceDE/>
              <w:autoSpaceDN/>
              <w:bidi w:val="0"/>
              <w:adjustRightInd/>
              <w:snapToGrid w:val="0"/>
              <w:spacing w:before="72" w:beforeLines="30" w:after="72" w:afterLines="30" w:line="288" w:lineRule="auto"/>
              <w:textAlignment w:val="auto"/>
              <w:rPr>
                <w:color w:val="auto"/>
                <w:sz w:val="20"/>
              </w:rPr>
            </w:pPr>
          </w:p>
        </w:tc>
        <w:tc>
          <w:tcPr>
            <w:tcW w:w="3734" w:type="pct"/>
            <w:vAlign w:val="center"/>
          </w:tcPr>
          <w:p>
            <w:pPr>
              <w:pStyle w:val="4"/>
              <w:keepNext w:val="0"/>
              <w:keepLines w:val="0"/>
              <w:pageBreakBefore w:val="0"/>
              <w:widowControl w:val="0"/>
              <w:kinsoku/>
              <w:wordWrap/>
              <w:overflowPunct/>
              <w:topLinePunct w:val="0"/>
              <w:autoSpaceDE/>
              <w:autoSpaceDN/>
              <w:bidi w:val="0"/>
              <w:adjustRightInd/>
              <w:snapToGrid w:val="0"/>
              <w:spacing w:before="72" w:beforeLines="30" w:after="72" w:afterLines="30" w:line="288" w:lineRule="auto"/>
              <w:textAlignment w:val="auto"/>
              <w:rPr>
                <w:color w:val="auto"/>
                <w:sz w:val="20"/>
              </w:rPr>
            </w:pPr>
            <w:r>
              <w:rPr>
                <w:color w:val="auto"/>
                <w:sz w:val="20"/>
              </w:rPr>
              <w:t>BM-Case6: Spatial-domain UL beam prediction for Set A of beams based on measurement results of Set B of beams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265" w:type="pct"/>
            <w:vMerge w:val="continue"/>
            <w:vAlign w:val="center"/>
          </w:tcPr>
          <w:p>
            <w:pPr>
              <w:pStyle w:val="4"/>
              <w:keepNext w:val="0"/>
              <w:keepLines w:val="0"/>
              <w:pageBreakBefore w:val="0"/>
              <w:widowControl w:val="0"/>
              <w:kinsoku/>
              <w:wordWrap/>
              <w:overflowPunct/>
              <w:topLinePunct w:val="0"/>
              <w:autoSpaceDE/>
              <w:autoSpaceDN/>
              <w:bidi w:val="0"/>
              <w:adjustRightInd/>
              <w:snapToGrid w:val="0"/>
              <w:spacing w:before="72" w:beforeLines="30" w:after="72" w:afterLines="30" w:line="288" w:lineRule="auto"/>
              <w:textAlignment w:val="auto"/>
              <w:rPr>
                <w:color w:val="auto"/>
                <w:sz w:val="20"/>
              </w:rPr>
            </w:pPr>
          </w:p>
        </w:tc>
        <w:tc>
          <w:tcPr>
            <w:tcW w:w="3734" w:type="pct"/>
            <w:vAlign w:val="center"/>
          </w:tcPr>
          <w:p>
            <w:pPr>
              <w:pStyle w:val="4"/>
              <w:keepNext w:val="0"/>
              <w:keepLines w:val="0"/>
              <w:pageBreakBefore w:val="0"/>
              <w:widowControl w:val="0"/>
              <w:kinsoku/>
              <w:wordWrap/>
              <w:overflowPunct/>
              <w:topLinePunct w:val="0"/>
              <w:autoSpaceDE/>
              <w:autoSpaceDN/>
              <w:bidi w:val="0"/>
              <w:adjustRightInd/>
              <w:snapToGrid w:val="0"/>
              <w:spacing w:before="72" w:beforeLines="30" w:after="72" w:afterLines="30" w:line="288" w:lineRule="auto"/>
              <w:textAlignment w:val="auto"/>
              <w:rPr>
                <w:color w:val="auto"/>
                <w:sz w:val="20"/>
              </w:rPr>
            </w:pPr>
            <w:r>
              <w:rPr>
                <w:color w:val="auto"/>
                <w:sz w:val="20"/>
              </w:rPr>
              <w:t>BM-Case9: Joint DL/UL beam pair link prediction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265" w:type="pct"/>
            <w:vAlign w:val="center"/>
          </w:tcPr>
          <w:p>
            <w:pPr>
              <w:pStyle w:val="4"/>
              <w:keepNext w:val="0"/>
              <w:keepLines w:val="0"/>
              <w:pageBreakBefore w:val="0"/>
              <w:widowControl w:val="0"/>
              <w:kinsoku/>
              <w:wordWrap/>
              <w:overflowPunct/>
              <w:topLinePunct w:val="0"/>
              <w:autoSpaceDE/>
              <w:autoSpaceDN/>
              <w:bidi w:val="0"/>
              <w:adjustRightInd/>
              <w:snapToGrid w:val="0"/>
              <w:spacing w:before="72" w:beforeLines="30" w:after="72" w:afterLines="30" w:line="288" w:lineRule="auto"/>
              <w:textAlignment w:val="auto"/>
              <w:rPr>
                <w:color w:val="auto"/>
                <w:sz w:val="20"/>
              </w:rPr>
            </w:pPr>
            <w:r>
              <w:rPr>
                <w:color w:val="auto"/>
                <w:sz w:val="20"/>
              </w:rPr>
              <w:t>Cat2:</w:t>
            </w:r>
          </w:p>
          <w:p>
            <w:pPr>
              <w:pStyle w:val="4"/>
              <w:keepNext w:val="0"/>
              <w:keepLines w:val="0"/>
              <w:pageBreakBefore w:val="0"/>
              <w:widowControl w:val="0"/>
              <w:kinsoku/>
              <w:wordWrap/>
              <w:overflowPunct/>
              <w:topLinePunct w:val="0"/>
              <w:autoSpaceDE/>
              <w:autoSpaceDN/>
              <w:bidi w:val="0"/>
              <w:adjustRightInd/>
              <w:snapToGrid w:val="0"/>
              <w:spacing w:before="72" w:beforeLines="30" w:after="72" w:afterLines="30" w:line="288" w:lineRule="auto"/>
              <w:textAlignment w:val="auto"/>
              <w:rPr>
                <w:color w:val="auto"/>
                <w:sz w:val="20"/>
              </w:rPr>
            </w:pPr>
            <w:r>
              <w:rPr>
                <w:color w:val="auto"/>
                <w:sz w:val="20"/>
              </w:rPr>
              <w:t>Time-domain DL beam prediction</w:t>
            </w:r>
          </w:p>
        </w:tc>
        <w:tc>
          <w:tcPr>
            <w:tcW w:w="3734" w:type="pct"/>
            <w:vAlign w:val="center"/>
          </w:tcPr>
          <w:p>
            <w:pPr>
              <w:pStyle w:val="4"/>
              <w:keepNext w:val="0"/>
              <w:keepLines w:val="0"/>
              <w:pageBreakBefore w:val="0"/>
              <w:widowControl w:val="0"/>
              <w:kinsoku/>
              <w:wordWrap/>
              <w:overflowPunct/>
              <w:topLinePunct w:val="0"/>
              <w:autoSpaceDE/>
              <w:autoSpaceDN/>
              <w:bidi w:val="0"/>
              <w:adjustRightInd/>
              <w:snapToGrid w:val="0"/>
              <w:spacing w:before="72" w:beforeLines="30" w:after="72" w:afterLines="30" w:line="288" w:lineRule="auto"/>
              <w:textAlignment w:val="auto"/>
              <w:rPr>
                <w:b/>
                <w:bCs/>
                <w:color w:val="auto"/>
                <w:sz w:val="20"/>
              </w:rPr>
            </w:pPr>
            <w:r>
              <w:rPr>
                <w:b/>
                <w:bCs/>
                <w:color w:val="auto"/>
                <w:sz w:val="20"/>
              </w:rPr>
              <w:t>BM-Case2:</w:t>
            </w:r>
            <w:r>
              <w:rPr>
                <w:color w:val="auto"/>
                <w:sz w:val="20"/>
              </w:rPr>
              <w:t xml:space="preserve"> Temporal DL beam prediction for Set A of beams based on the historic measurement results of Set B of beams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265" w:type="pct"/>
            <w:vMerge w:val="restart"/>
            <w:vAlign w:val="center"/>
          </w:tcPr>
          <w:p>
            <w:pPr>
              <w:pStyle w:val="4"/>
              <w:keepNext w:val="0"/>
              <w:keepLines w:val="0"/>
              <w:pageBreakBefore w:val="0"/>
              <w:widowControl w:val="0"/>
              <w:kinsoku/>
              <w:wordWrap/>
              <w:overflowPunct/>
              <w:topLinePunct w:val="0"/>
              <w:autoSpaceDE/>
              <w:autoSpaceDN/>
              <w:bidi w:val="0"/>
              <w:adjustRightInd/>
              <w:snapToGrid w:val="0"/>
              <w:spacing w:before="72" w:beforeLines="30" w:after="72" w:afterLines="30" w:line="288" w:lineRule="auto"/>
              <w:textAlignment w:val="auto"/>
              <w:rPr>
                <w:color w:val="auto"/>
                <w:sz w:val="20"/>
              </w:rPr>
            </w:pPr>
            <w:r>
              <w:rPr>
                <w:color w:val="auto"/>
                <w:sz w:val="20"/>
              </w:rPr>
              <w:t>Cat3: Others</w:t>
            </w:r>
          </w:p>
        </w:tc>
        <w:tc>
          <w:tcPr>
            <w:tcW w:w="3734" w:type="pct"/>
            <w:vAlign w:val="center"/>
          </w:tcPr>
          <w:p>
            <w:pPr>
              <w:pStyle w:val="4"/>
              <w:keepNext w:val="0"/>
              <w:keepLines w:val="0"/>
              <w:pageBreakBefore w:val="0"/>
              <w:widowControl w:val="0"/>
              <w:kinsoku/>
              <w:wordWrap/>
              <w:overflowPunct/>
              <w:topLinePunct w:val="0"/>
              <w:autoSpaceDE/>
              <w:autoSpaceDN/>
              <w:bidi w:val="0"/>
              <w:adjustRightInd/>
              <w:snapToGrid w:val="0"/>
              <w:spacing w:before="72" w:beforeLines="30" w:after="72" w:afterLines="30" w:line="288" w:lineRule="auto"/>
              <w:textAlignment w:val="auto"/>
              <w:rPr>
                <w:color w:val="auto"/>
                <w:sz w:val="20"/>
              </w:rPr>
            </w:pPr>
            <w:r>
              <w:rPr>
                <w:color w:val="auto"/>
                <w:sz w:val="20"/>
              </w:rPr>
              <w:t>BM-Case7: beam measurement feedback compression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265" w:type="pct"/>
            <w:vMerge w:val="continue"/>
          </w:tcPr>
          <w:p>
            <w:pPr>
              <w:pStyle w:val="4"/>
              <w:keepNext w:val="0"/>
              <w:keepLines w:val="0"/>
              <w:pageBreakBefore w:val="0"/>
              <w:widowControl w:val="0"/>
              <w:kinsoku/>
              <w:wordWrap/>
              <w:overflowPunct/>
              <w:topLinePunct w:val="0"/>
              <w:autoSpaceDE/>
              <w:autoSpaceDN/>
              <w:bidi w:val="0"/>
              <w:adjustRightInd/>
              <w:snapToGrid w:val="0"/>
              <w:spacing w:before="72" w:beforeLines="30" w:after="72" w:afterLines="30" w:line="288" w:lineRule="auto"/>
              <w:textAlignment w:val="auto"/>
              <w:rPr>
                <w:color w:val="auto"/>
                <w:sz w:val="20"/>
              </w:rPr>
            </w:pPr>
          </w:p>
        </w:tc>
        <w:tc>
          <w:tcPr>
            <w:tcW w:w="3734" w:type="pct"/>
            <w:vAlign w:val="center"/>
          </w:tcPr>
          <w:p>
            <w:pPr>
              <w:pStyle w:val="4"/>
              <w:keepNext w:val="0"/>
              <w:keepLines w:val="0"/>
              <w:pageBreakBefore w:val="0"/>
              <w:widowControl w:val="0"/>
              <w:kinsoku/>
              <w:wordWrap/>
              <w:overflowPunct/>
              <w:topLinePunct w:val="0"/>
              <w:autoSpaceDE/>
              <w:autoSpaceDN/>
              <w:bidi w:val="0"/>
              <w:adjustRightInd/>
              <w:snapToGrid w:val="0"/>
              <w:spacing w:before="72" w:beforeLines="30" w:after="72" w:afterLines="30" w:line="288" w:lineRule="auto"/>
              <w:textAlignment w:val="auto"/>
              <w:rPr>
                <w:color w:val="auto"/>
                <w:sz w:val="20"/>
              </w:rPr>
            </w:pPr>
            <w:r>
              <w:rPr>
                <w:color w:val="auto"/>
                <w:sz w:val="20"/>
              </w:rPr>
              <w:t>BM-Case8: The beam-specific parameter optimization</w:t>
            </w:r>
          </w:p>
        </w:tc>
      </w:tr>
    </w:tbl>
    <w:p>
      <w:pPr>
        <w:snapToGrid w:val="0"/>
        <w:spacing w:before="72" w:beforeLines="30" w:after="72" w:afterLines="30" w:line="288" w:lineRule="auto"/>
        <w:jc w:val="both"/>
        <w:rPr>
          <w:rFonts w:eastAsia="Times New Roman"/>
          <w:i w:val="0"/>
          <w:iCs w:val="0"/>
          <w:sz w:val="20"/>
          <w:szCs w:val="20"/>
          <w:lang w:val="en-GB"/>
        </w:rPr>
      </w:pPr>
      <w:r>
        <w:rPr>
          <w:rFonts w:hint="eastAsia" w:eastAsia="Times New Roman"/>
          <w:i w:val="0"/>
          <w:iCs w:val="0"/>
          <w:sz w:val="20"/>
          <w:szCs w:val="20"/>
          <w:lang w:val="en-GB"/>
        </w:rPr>
        <w:t xml:space="preserve">Since the time unit of this study item is limited, we suggest to focus on the sub use cases BM-Case1 and BM-Case2 in </w:t>
      </w:r>
      <w:r>
        <w:rPr>
          <w:rFonts w:hint="eastAsia"/>
          <w:i w:val="0"/>
          <w:iCs w:val="0"/>
          <w:sz w:val="20"/>
          <w:szCs w:val="20"/>
          <w:lang w:val="en-US" w:eastAsia="zh-CN"/>
        </w:rPr>
        <w:t>Rel-18</w:t>
      </w:r>
      <w:r>
        <w:rPr>
          <w:rFonts w:hint="eastAsia" w:eastAsia="Times New Roman"/>
          <w:i w:val="0"/>
          <w:iCs w:val="0"/>
          <w:sz w:val="20"/>
          <w:szCs w:val="20"/>
          <w:lang w:val="en-GB"/>
        </w:rPr>
        <w:t>, and other sub use cases</w:t>
      </w:r>
      <w:r>
        <w:rPr>
          <w:rFonts w:hint="eastAsia"/>
          <w:i w:val="0"/>
          <w:iCs w:val="0"/>
          <w:sz w:val="20"/>
          <w:szCs w:val="20"/>
          <w:lang w:val="en-US" w:eastAsia="zh-CN"/>
        </w:rPr>
        <w:t xml:space="preserve"> can be discussed until solid AI framework has been made in Rel-18</w:t>
      </w:r>
      <w:r>
        <w:rPr>
          <w:rFonts w:hint="eastAsia" w:eastAsia="Times New Roman"/>
          <w:i w:val="0"/>
          <w:iCs w:val="0"/>
          <w:sz w:val="20"/>
          <w:szCs w:val="20"/>
          <w:lang w:val="en-GB"/>
        </w:rPr>
        <w:t>.</w:t>
      </w:r>
      <w:r>
        <w:rPr>
          <w:rFonts w:hint="eastAsia"/>
          <w:i w:val="0"/>
          <w:iCs w:val="0"/>
          <w:sz w:val="20"/>
          <w:szCs w:val="20"/>
          <w:lang w:val="en-US" w:eastAsia="zh-CN"/>
        </w:rPr>
        <w:t xml:space="preserve"> </w:t>
      </w:r>
      <w:r>
        <w:rPr>
          <w:rFonts w:hint="eastAsia" w:eastAsia="Times New Roman"/>
          <w:i w:val="0"/>
          <w:iCs w:val="0"/>
          <w:sz w:val="20"/>
          <w:szCs w:val="20"/>
          <w:lang w:val="en-GB"/>
        </w:rPr>
        <w:t xml:space="preserve">Besides, we also notice some potential drawbacks of other sub use cases, which are </w:t>
      </w:r>
      <w:r>
        <w:rPr>
          <w:rFonts w:hint="eastAsia"/>
          <w:i w:val="0"/>
          <w:iCs w:val="0"/>
          <w:sz w:val="20"/>
          <w:szCs w:val="20"/>
        </w:rPr>
        <w:t xml:space="preserve">detailed </w:t>
      </w:r>
      <w:r>
        <w:rPr>
          <w:rFonts w:hint="eastAsia" w:eastAsia="Times New Roman"/>
          <w:i w:val="0"/>
          <w:iCs w:val="0"/>
          <w:sz w:val="20"/>
          <w:szCs w:val="20"/>
          <w:lang w:val="en-GB"/>
        </w:rPr>
        <w:t>in the following.</w:t>
      </w:r>
    </w:p>
    <w:p>
      <w:pPr>
        <w:snapToGrid w:val="0"/>
        <w:spacing w:before="72" w:beforeLines="30" w:after="72" w:afterLines="30" w:line="288" w:lineRule="auto"/>
        <w:jc w:val="both"/>
        <w:rPr>
          <w:rFonts w:eastAsia="Times New Roman"/>
          <w:sz w:val="20"/>
          <w:szCs w:val="20"/>
          <w:lang w:val="en-GB"/>
        </w:rPr>
      </w:pPr>
      <w:r>
        <w:rPr>
          <w:rFonts w:hint="eastAsia" w:eastAsia="Times New Roman"/>
          <w:sz w:val="20"/>
          <w:szCs w:val="20"/>
          <w:lang w:val="en-GB"/>
        </w:rPr>
        <w:t>Regarding the sub-use cases BM-Case6 and BM-Case9, they actually share a similar mechanism with BM-Case1</w:t>
      </w:r>
      <w:r>
        <w:rPr>
          <w:rFonts w:hint="eastAsia"/>
          <w:sz w:val="20"/>
          <w:szCs w:val="20"/>
        </w:rPr>
        <w:t>. Th</w:t>
      </w:r>
      <w:r>
        <w:rPr>
          <w:rFonts w:hint="eastAsia" w:eastAsia="Times New Roman"/>
          <w:sz w:val="20"/>
          <w:szCs w:val="20"/>
          <w:lang w:val="en-GB"/>
        </w:rPr>
        <w:t xml:space="preserve">at is, the optimal beam or beam pair is predicted based on measurement results of partial beams, </w:t>
      </w:r>
      <w:r>
        <w:rPr>
          <w:rFonts w:hint="eastAsia"/>
          <w:sz w:val="20"/>
          <w:szCs w:val="20"/>
        </w:rPr>
        <w:t xml:space="preserve">where </w:t>
      </w:r>
      <w:r>
        <w:rPr>
          <w:rFonts w:hint="eastAsia" w:eastAsia="Times New Roman"/>
          <w:sz w:val="20"/>
          <w:szCs w:val="20"/>
          <w:lang w:val="en-GB"/>
        </w:rPr>
        <w:t xml:space="preserve">deep learning based super-resolution technology </w:t>
      </w:r>
      <w:r>
        <w:rPr>
          <w:rFonts w:hint="eastAsia"/>
          <w:sz w:val="20"/>
          <w:szCs w:val="20"/>
        </w:rPr>
        <w:t xml:space="preserve">is utilized </w:t>
      </w:r>
      <w:r>
        <w:rPr>
          <w:rFonts w:hint="eastAsia" w:eastAsia="Times New Roman"/>
          <w:sz w:val="20"/>
          <w:szCs w:val="20"/>
          <w:lang w:val="en-GB"/>
        </w:rPr>
        <w:t xml:space="preserve">to extract the spatial channel correlations. Therefore, </w:t>
      </w:r>
      <w:r>
        <w:rPr>
          <w:rFonts w:eastAsia="Times New Roman"/>
          <w:sz w:val="20"/>
          <w:szCs w:val="20"/>
          <w:lang w:val="en-GB"/>
        </w:rPr>
        <w:t xml:space="preserve">we can focus on BM-Case1 first and try to see if the same framework can be applicable to </w:t>
      </w:r>
      <w:r>
        <w:rPr>
          <w:rFonts w:hint="eastAsia" w:eastAsia="Times New Roman"/>
          <w:sz w:val="20"/>
          <w:szCs w:val="20"/>
          <w:lang w:val="en-GB"/>
        </w:rPr>
        <w:t>sub-use cases BM-Case6 and BM-Case9</w:t>
      </w:r>
      <w:r>
        <w:rPr>
          <w:rFonts w:eastAsia="Times New Roman"/>
          <w:sz w:val="20"/>
          <w:szCs w:val="20"/>
          <w:lang w:val="en-GB"/>
        </w:rPr>
        <w:t xml:space="preserve"> later</w:t>
      </w:r>
      <w:r>
        <w:rPr>
          <w:rFonts w:hint="eastAsia" w:eastAsia="Times New Roman"/>
          <w:sz w:val="20"/>
          <w:szCs w:val="20"/>
          <w:lang w:val="en-GB"/>
        </w:rPr>
        <w:t>.</w:t>
      </w:r>
    </w:p>
    <w:p>
      <w:pPr>
        <w:snapToGrid w:val="0"/>
        <w:spacing w:before="72" w:beforeLines="30" w:after="72" w:afterLines="30" w:line="288" w:lineRule="auto"/>
        <w:jc w:val="both"/>
        <w:rPr>
          <w:rFonts w:eastAsia="Times New Roman"/>
          <w:sz w:val="20"/>
          <w:szCs w:val="20"/>
          <w:lang w:val="en-GB"/>
        </w:rPr>
      </w:pPr>
      <w:r>
        <w:rPr>
          <w:rFonts w:hint="eastAsia" w:eastAsia="Times New Roman"/>
          <w:sz w:val="20"/>
          <w:szCs w:val="20"/>
          <w:lang w:val="en-GB"/>
        </w:rPr>
        <w:t>Regarding the sub-use case BM-Case3</w:t>
      </w:r>
      <w:r>
        <w:rPr>
          <w:rFonts w:hint="eastAsia" w:eastAsia="Times New Roman"/>
          <w:sz w:val="20"/>
          <w:szCs w:val="20"/>
        </w:rPr>
        <w:t xml:space="preserve">, it has strong dependency on the channel information across different frequency </w:t>
      </w:r>
      <w:r>
        <w:rPr>
          <w:rFonts w:eastAsia="Times New Roman"/>
          <w:sz w:val="20"/>
          <w:szCs w:val="20"/>
        </w:rPr>
        <w:t>range</w:t>
      </w:r>
      <w:r>
        <w:rPr>
          <w:rFonts w:hint="eastAsia" w:eastAsia="Times New Roman"/>
          <w:sz w:val="20"/>
          <w:szCs w:val="20"/>
        </w:rPr>
        <w:t xml:space="preserve">s. Whether it’s reliable enough should be further studied since different frequency </w:t>
      </w:r>
      <w:r>
        <w:rPr>
          <w:rFonts w:eastAsia="Times New Roman"/>
          <w:sz w:val="20"/>
          <w:szCs w:val="20"/>
        </w:rPr>
        <w:t>range</w:t>
      </w:r>
      <w:r>
        <w:rPr>
          <w:rFonts w:hint="eastAsia" w:eastAsia="Times New Roman"/>
          <w:sz w:val="20"/>
          <w:szCs w:val="20"/>
        </w:rPr>
        <w:t xml:space="preserve">s generally have quite different channel characteristics. For the </w:t>
      </w:r>
      <w:r>
        <w:rPr>
          <w:rFonts w:hint="eastAsia" w:eastAsia="Times New Roman"/>
          <w:sz w:val="20"/>
          <w:szCs w:val="20"/>
          <w:lang w:val="en-GB"/>
        </w:rPr>
        <w:t>sub-use case BM-Case</w:t>
      </w:r>
      <w:r>
        <w:rPr>
          <w:rFonts w:hint="eastAsia"/>
          <w:sz w:val="20"/>
          <w:szCs w:val="20"/>
        </w:rPr>
        <w:t xml:space="preserve">4, it </w:t>
      </w:r>
      <w:r>
        <w:rPr>
          <w:rFonts w:hint="eastAsia" w:eastAsia="Times New Roman"/>
          <w:sz w:val="20"/>
          <w:szCs w:val="20"/>
          <w:lang w:val="en-GB"/>
        </w:rPr>
        <w:t xml:space="preserve">may be sensitive to </w:t>
      </w:r>
      <w:r>
        <w:rPr>
          <w:rFonts w:eastAsia="Times New Roman"/>
          <w:sz w:val="20"/>
          <w:szCs w:val="20"/>
          <w:lang w:val="en-GB"/>
        </w:rPr>
        <w:t xml:space="preserve">acquire </w:t>
      </w:r>
      <w:r>
        <w:rPr>
          <w:rFonts w:hint="eastAsia" w:eastAsia="Times New Roman"/>
          <w:sz w:val="20"/>
          <w:szCs w:val="20"/>
          <w:lang w:val="en-GB"/>
        </w:rPr>
        <w:t xml:space="preserve">movement </w:t>
      </w:r>
      <w:r>
        <w:rPr>
          <w:rFonts w:eastAsia="Times New Roman"/>
          <w:sz w:val="20"/>
          <w:szCs w:val="20"/>
          <w:lang w:val="en-GB"/>
        </w:rPr>
        <w:t>information</w:t>
      </w:r>
      <w:r>
        <w:rPr>
          <w:rFonts w:hint="eastAsia"/>
          <w:sz w:val="20"/>
          <w:szCs w:val="20"/>
          <w:lang w:val="en-US" w:eastAsia="zh-CN"/>
        </w:rPr>
        <w:t xml:space="preserve"> </w:t>
      </w:r>
      <w:r>
        <w:rPr>
          <w:rFonts w:hint="eastAsia" w:eastAsia="Times New Roman"/>
          <w:sz w:val="20"/>
          <w:szCs w:val="20"/>
          <w:lang w:val="en-GB"/>
        </w:rPr>
        <w:t>of surrounding objects</w:t>
      </w:r>
      <w:r>
        <w:rPr>
          <w:rFonts w:hint="eastAsia"/>
          <w:sz w:val="20"/>
          <w:szCs w:val="20"/>
        </w:rPr>
        <w:t xml:space="preserve"> and </w:t>
      </w:r>
      <w:r>
        <w:rPr>
          <w:sz w:val="20"/>
          <w:szCs w:val="20"/>
        </w:rPr>
        <w:t xml:space="preserve">the </w:t>
      </w:r>
      <w:r>
        <w:rPr>
          <w:rFonts w:hint="eastAsia"/>
          <w:sz w:val="20"/>
          <w:szCs w:val="20"/>
        </w:rPr>
        <w:t>current specification doesn</w:t>
      </w:r>
      <w:r>
        <w:rPr>
          <w:sz w:val="20"/>
          <w:szCs w:val="20"/>
        </w:rPr>
        <w:t>’</w:t>
      </w:r>
      <w:r>
        <w:rPr>
          <w:rFonts w:hint="eastAsia"/>
          <w:sz w:val="20"/>
          <w:szCs w:val="20"/>
        </w:rPr>
        <w:t xml:space="preserve">t support UE position to be acquired by NG-RAN (e.g., gNB) node due to privacy issue. </w:t>
      </w:r>
      <w:r>
        <w:rPr>
          <w:sz w:val="20"/>
        </w:rPr>
        <w:t xml:space="preserve">Instead, </w:t>
      </w:r>
      <w:r>
        <w:rPr>
          <w:rFonts w:hint="eastAsia"/>
          <w:sz w:val="20"/>
        </w:rPr>
        <w:t>it is more appropriate to use positioning-related measurement or trajectory as an assistance information for temporal beam prediction</w:t>
      </w:r>
      <w:r>
        <w:rPr>
          <w:rFonts w:hint="eastAsia"/>
          <w:sz w:val="20"/>
          <w:lang w:val="en-US" w:eastAsia="zh-CN"/>
        </w:rPr>
        <w:t xml:space="preserve"> </w:t>
      </w:r>
      <w:r>
        <w:rPr>
          <w:rFonts w:hint="eastAsia"/>
          <w:sz w:val="20"/>
          <w:szCs w:val="20"/>
        </w:rPr>
        <w:t>[</w:t>
      </w:r>
      <w:r>
        <w:rPr>
          <w:rFonts w:hint="eastAsia"/>
          <w:sz w:val="20"/>
          <w:szCs w:val="20"/>
          <w:lang w:val="en-US" w:eastAsia="zh-CN"/>
        </w:rPr>
        <w:t>3</w:t>
      </w:r>
      <w:r>
        <w:rPr>
          <w:rFonts w:hint="eastAsia"/>
          <w:sz w:val="20"/>
          <w:szCs w:val="20"/>
        </w:rPr>
        <w:t>][</w:t>
      </w:r>
      <w:r>
        <w:rPr>
          <w:rFonts w:hint="eastAsia"/>
          <w:sz w:val="20"/>
          <w:szCs w:val="20"/>
          <w:lang w:val="en-US" w:eastAsia="zh-CN"/>
        </w:rPr>
        <w:t>4</w:t>
      </w:r>
      <w:r>
        <w:rPr>
          <w:rFonts w:hint="eastAsia"/>
          <w:sz w:val="20"/>
          <w:szCs w:val="20"/>
        </w:rPr>
        <w:t>]</w:t>
      </w:r>
      <w:r>
        <w:rPr>
          <w:rFonts w:hint="eastAsia"/>
          <w:sz w:val="20"/>
        </w:rPr>
        <w:t xml:space="preserve">. </w:t>
      </w:r>
      <w:r>
        <w:rPr>
          <w:sz w:val="20"/>
        </w:rPr>
        <w:t xml:space="preserve">In this case, we can combine this study with BM-Case2 under the framework of temporal DL beam prediction. </w:t>
      </w:r>
    </w:p>
    <w:p>
      <w:pPr>
        <w:spacing w:before="72" w:beforeLines="30" w:after="72" w:afterLines="30" w:line="288" w:lineRule="auto"/>
        <w:jc w:val="both"/>
        <w:rPr>
          <w:rFonts w:eastAsia="Times New Roman"/>
          <w:sz w:val="20"/>
          <w:szCs w:val="20"/>
        </w:rPr>
      </w:pPr>
      <w:r>
        <w:rPr>
          <w:rFonts w:hint="eastAsia" w:eastAsia="Times New Roman"/>
          <w:sz w:val="20"/>
          <w:szCs w:val="20"/>
          <w:lang w:val="en-GB"/>
        </w:rPr>
        <w:t>For the sub-use case BM-Case7, whether beam reporting overhead is a big problem should be carefully discussed before this case is selected as a representative use case. At least when the AI/ML model is deployed on the UE side, the UE may only need to report the optimal beam information to the gNB without additional compression related operation, where the associated reporting overhead is acceptable. For the sub use case BM-Case8, compared with predefined (e.g., DFT) codebooks, the codebook construction or beam-specific parameter optimization based on channel characteristics leads to additional complexity and is hard to be aligned among different companies</w:t>
      </w:r>
      <w:r>
        <w:rPr>
          <w:rFonts w:hint="eastAsia" w:eastAsia="Times New Roman"/>
          <w:sz w:val="20"/>
          <w:szCs w:val="20"/>
        </w:rPr>
        <w:t>.</w:t>
      </w:r>
    </w:p>
    <w:p>
      <w:pPr>
        <w:snapToGrid w:val="0"/>
        <w:spacing w:before="72" w:beforeLines="30" w:after="72" w:afterLines="30" w:line="288" w:lineRule="auto"/>
        <w:jc w:val="both"/>
        <w:rPr>
          <w:rFonts w:hint="eastAsia" w:eastAsia="Times New Roman"/>
          <w:i/>
          <w:iCs/>
          <w:sz w:val="20"/>
          <w:szCs w:val="20"/>
          <w:lang w:val="en-GB"/>
        </w:rPr>
      </w:pPr>
      <w:r>
        <w:rPr>
          <w:rFonts w:hint="eastAsia" w:eastAsia="Times New Roman"/>
          <w:b/>
          <w:bCs/>
          <w:i/>
          <w:iCs/>
          <w:sz w:val="20"/>
          <w:szCs w:val="20"/>
          <w:lang w:val="en-GB"/>
        </w:rPr>
        <w:t xml:space="preserve">Proposal </w:t>
      </w:r>
      <w:r>
        <w:rPr>
          <w:rFonts w:hint="eastAsia"/>
          <w:b/>
          <w:bCs/>
          <w:i/>
          <w:iCs/>
          <w:sz w:val="20"/>
          <w:szCs w:val="20"/>
          <w:lang w:val="en-US" w:eastAsia="zh-CN"/>
        </w:rPr>
        <w:t>2</w:t>
      </w:r>
      <w:r>
        <w:rPr>
          <w:rFonts w:hint="eastAsia" w:eastAsia="Times New Roman"/>
          <w:b/>
          <w:bCs/>
          <w:i/>
          <w:iCs/>
          <w:sz w:val="20"/>
          <w:szCs w:val="20"/>
          <w:lang w:val="en-GB"/>
        </w:rPr>
        <w:t xml:space="preserve">: </w:t>
      </w:r>
      <w:r>
        <w:rPr>
          <w:rFonts w:hint="eastAsia" w:eastAsia="Times New Roman"/>
          <w:i/>
          <w:iCs/>
          <w:sz w:val="20"/>
          <w:szCs w:val="20"/>
          <w:lang w:val="en-GB"/>
        </w:rPr>
        <w:t xml:space="preserve">Since the time unit of this study item is limited, we suggest to focus on the sub use cases BM-Case1 and BM-Case2 in </w:t>
      </w:r>
      <w:r>
        <w:rPr>
          <w:rFonts w:hint="eastAsia"/>
          <w:i/>
          <w:iCs/>
          <w:sz w:val="20"/>
          <w:szCs w:val="20"/>
          <w:lang w:val="en-US" w:eastAsia="zh-CN"/>
        </w:rPr>
        <w:t>Rel-18</w:t>
      </w:r>
      <w:r>
        <w:rPr>
          <w:rFonts w:hint="eastAsia" w:eastAsia="Times New Roman"/>
          <w:i/>
          <w:iCs/>
          <w:sz w:val="20"/>
          <w:szCs w:val="20"/>
          <w:lang w:val="en-GB"/>
        </w:rPr>
        <w:t>, and other sub use cases</w:t>
      </w:r>
      <w:r>
        <w:rPr>
          <w:rFonts w:hint="eastAsia"/>
          <w:i/>
          <w:iCs/>
          <w:sz w:val="20"/>
          <w:szCs w:val="20"/>
          <w:lang w:val="en-US" w:eastAsia="zh-CN"/>
        </w:rPr>
        <w:t xml:space="preserve"> can be discussed until solid AI framework has been made in Rel-18</w:t>
      </w:r>
      <w:r>
        <w:rPr>
          <w:rFonts w:hint="eastAsia" w:eastAsia="Times New Roman"/>
          <w:i/>
          <w:iCs/>
          <w:sz w:val="20"/>
          <w:szCs w:val="20"/>
          <w:lang w:val="en-GB"/>
        </w:rPr>
        <w:t>.</w:t>
      </w:r>
    </w:p>
    <w:p>
      <w:pPr>
        <w:snapToGrid w:val="0"/>
        <w:spacing w:before="72" w:beforeLines="30" w:after="72" w:afterLines="30" w:line="288" w:lineRule="auto"/>
        <w:jc w:val="both"/>
        <w:rPr>
          <w:rFonts w:hint="eastAsia" w:eastAsia="Times New Roman"/>
          <w:i/>
          <w:iCs/>
          <w:sz w:val="20"/>
          <w:szCs w:val="20"/>
          <w:lang w:val="en-GB"/>
        </w:rPr>
      </w:pPr>
    </w:p>
    <w:p>
      <w:pPr>
        <w:numPr>
          <w:ilvl w:val="1"/>
          <w:numId w:val="5"/>
        </w:numPr>
        <w:tabs>
          <w:tab w:val="clear" w:pos="576"/>
        </w:tabs>
        <w:snapToGrid w:val="0"/>
        <w:spacing w:before="10" w:after="120" w:afterLines="50" w:line="288" w:lineRule="auto"/>
        <w:ind w:left="567" w:hanging="567"/>
        <w:jc w:val="both"/>
        <w:outlineLvl w:val="1"/>
        <w:rPr>
          <w:b/>
          <w:sz w:val="24"/>
          <w:szCs w:val="20"/>
        </w:rPr>
      </w:pPr>
      <w:r>
        <w:rPr>
          <w:b/>
          <w:sz w:val="24"/>
          <w:szCs w:val="20"/>
        </w:rPr>
        <w:t>Spatial-domain DL beam prediction</w:t>
      </w:r>
    </w:p>
    <w:p>
      <w:pPr>
        <w:snapToGrid w:val="0"/>
        <w:spacing w:before="72" w:beforeLines="30" w:after="72" w:afterLines="30" w:line="288" w:lineRule="auto"/>
        <w:jc w:val="both"/>
        <w:rPr>
          <w:rFonts w:eastAsia="Times New Roman"/>
          <w:sz w:val="20"/>
          <w:szCs w:val="20"/>
          <w:lang w:val="en-GB"/>
        </w:rPr>
      </w:pPr>
      <w:r>
        <w:rPr>
          <w:rFonts w:hint="eastAsia" w:eastAsia="Times New Roman"/>
          <w:sz w:val="20"/>
          <w:szCs w:val="20"/>
          <w:lang w:val="en-GB"/>
        </w:rPr>
        <w:t>Spatial-domain beam prediction aims at predicting the optimal beam or beam pair based on measurement results of partial beams or wide beams by utilizing the AI/ML technology. For an AI/ML-based beam prediction model, two basic factors are the input and output. Thus, in order to design a model of a specific sub use case, the input and output need to be clearly defined. Besides, the construction of beam sets for AI/ML input and output also needs to be further refined. In the following, we will elaborate our views on beam set construction, AI input, and AI output, respectively.</w:t>
      </w:r>
    </w:p>
    <w:p>
      <w:pPr>
        <w:snapToGrid w:val="0"/>
        <w:spacing w:before="72" w:beforeLines="30" w:after="72" w:afterLines="30" w:line="288" w:lineRule="auto"/>
        <w:jc w:val="both"/>
        <w:rPr>
          <w:rFonts w:eastAsia="Times New Roman"/>
          <w:b/>
          <w:bCs/>
          <w:sz w:val="20"/>
          <w:szCs w:val="20"/>
          <w:u w:val="single"/>
          <w:lang w:val="en-GB"/>
        </w:rPr>
      </w:pPr>
      <w:r>
        <w:rPr>
          <w:rFonts w:hint="eastAsia" w:eastAsia="Times New Roman"/>
          <w:b/>
          <w:bCs/>
          <w:sz w:val="20"/>
          <w:szCs w:val="20"/>
          <w:u w:val="single"/>
          <w:lang w:val="en-GB"/>
        </w:rPr>
        <w:t>Beam set construction:</w:t>
      </w:r>
    </w:p>
    <w:p>
      <w:pPr>
        <w:snapToGrid w:val="0"/>
        <w:spacing w:before="72" w:beforeLines="30" w:after="72" w:afterLines="30" w:line="288" w:lineRule="auto"/>
        <w:jc w:val="both"/>
        <w:rPr>
          <w:rFonts w:eastAsia="Times New Roman"/>
          <w:sz w:val="20"/>
          <w:szCs w:val="20"/>
          <w:lang w:val="en-GB"/>
        </w:rPr>
      </w:pPr>
      <w:r>
        <w:rPr>
          <w:rFonts w:hint="eastAsia" w:eastAsia="Times New Roman"/>
          <w:sz w:val="20"/>
          <w:szCs w:val="20"/>
          <w:lang w:val="en-GB"/>
        </w:rPr>
        <w:t>In RAN1#1</w:t>
      </w:r>
      <w:r>
        <w:rPr>
          <w:rFonts w:hint="eastAsia"/>
          <w:sz w:val="20"/>
          <w:szCs w:val="20"/>
          <w:lang w:val="en-US" w:eastAsia="zh-CN"/>
        </w:rPr>
        <w:t>10</w:t>
      </w:r>
      <w:r>
        <w:rPr>
          <w:rFonts w:hint="eastAsia" w:eastAsia="Times New Roman"/>
          <w:sz w:val="20"/>
          <w:szCs w:val="20"/>
          <w:lang w:val="en-GB"/>
        </w:rPr>
        <w:t xml:space="preserve">, the following </w:t>
      </w:r>
      <w:r>
        <w:rPr>
          <w:rFonts w:hint="eastAsia"/>
          <w:sz w:val="20"/>
          <w:szCs w:val="20"/>
          <w:lang w:val="en-US" w:eastAsia="zh-CN"/>
        </w:rPr>
        <w:t xml:space="preserve">agreement </w:t>
      </w:r>
      <w:r>
        <w:rPr>
          <w:rFonts w:hint="eastAsia" w:eastAsia="Times New Roman"/>
          <w:sz w:val="20"/>
          <w:szCs w:val="20"/>
          <w:lang w:val="en-GB"/>
        </w:rPr>
        <w:t xml:space="preserve">regarding the beam set construction was </w:t>
      </w:r>
      <w:r>
        <w:rPr>
          <w:rFonts w:hint="eastAsia"/>
          <w:sz w:val="20"/>
          <w:szCs w:val="20"/>
          <w:lang w:val="en-US" w:eastAsia="zh-CN"/>
        </w:rPr>
        <w:t xml:space="preserve">obtained </w:t>
      </w:r>
      <w:r>
        <w:rPr>
          <w:rFonts w:hint="eastAsia" w:eastAsia="Times New Roman"/>
          <w:sz w:val="20"/>
          <w:szCs w:val="20"/>
          <w:lang w:val="en-GB"/>
        </w:rPr>
        <w:t>for progress. Wherein, the beam sets for measurement and prediction were considered to be constructed with the same or different beam width.</w:t>
      </w:r>
    </w:p>
    <w:tbl>
      <w:tblPr>
        <w:tblStyle w:val="24"/>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val="0"/>
              <w:kinsoku/>
              <w:wordWrap/>
              <w:overflowPunct/>
              <w:topLinePunct w:val="0"/>
              <w:autoSpaceDE/>
              <w:autoSpaceDN/>
              <w:bidi w:val="0"/>
              <w:adjustRightInd/>
              <w:snapToGrid w:val="0"/>
              <w:spacing w:before="95" w:beforeLines="30" w:after="95" w:afterLines="30" w:line="288" w:lineRule="auto"/>
              <w:textAlignment w:val="auto"/>
              <w:rPr>
                <w:rFonts w:hint="default" w:ascii="Times New Roman" w:hAnsi="Times New Roman" w:cs="Times New Roman"/>
                <w:b w:val="0"/>
                <w:bCs/>
                <w:i w:val="0"/>
                <w:iCs/>
                <w:color w:val="auto"/>
                <w:sz w:val="20"/>
                <w:szCs w:val="20"/>
              </w:rPr>
            </w:pPr>
            <w:r>
              <w:rPr>
                <w:rFonts w:hint="default" w:ascii="Times New Roman" w:hAnsi="Times New Roman" w:cs="Times New Roman"/>
                <w:b w:val="0"/>
                <w:bCs/>
                <w:i w:val="0"/>
                <w:iCs/>
                <w:color w:val="auto"/>
                <w:sz w:val="20"/>
                <w:szCs w:val="20"/>
              </w:rPr>
              <w:t>For the sub use case BM-Case1, support the following alternatives for further study:</w:t>
            </w:r>
          </w:p>
          <w:p>
            <w:pPr>
              <w:keepNext w:val="0"/>
              <w:keepLines w:val="0"/>
              <w:pageBreakBefore w:val="0"/>
              <w:widowControl w:val="0"/>
              <w:numPr>
                <w:ilvl w:val="0"/>
                <w:numId w:val="7"/>
              </w:numPr>
              <w:kinsoku/>
              <w:wordWrap/>
              <w:overflowPunct w:val="0"/>
              <w:topLinePunct w:val="0"/>
              <w:autoSpaceDE w:val="0"/>
              <w:autoSpaceDN w:val="0"/>
              <w:bidi w:val="0"/>
              <w:adjustRightInd w:val="0"/>
              <w:snapToGrid w:val="0"/>
              <w:spacing w:before="95" w:beforeLines="30" w:after="95" w:afterLines="30" w:line="288" w:lineRule="auto"/>
              <w:contextualSpacing/>
              <w:textAlignment w:val="baseline"/>
              <w:rPr>
                <w:rFonts w:hint="default" w:ascii="Times New Roman" w:hAnsi="Times New Roman" w:eastAsia="宋体" w:cs="Times New Roman"/>
                <w:b w:val="0"/>
                <w:bCs/>
                <w:i w:val="0"/>
                <w:iCs/>
                <w:color w:val="auto"/>
                <w:sz w:val="20"/>
                <w:szCs w:val="20"/>
                <w:lang w:eastAsia="ja-JP"/>
              </w:rPr>
            </w:pPr>
            <w:r>
              <w:rPr>
                <w:rFonts w:hint="default" w:ascii="Times New Roman" w:hAnsi="Times New Roman" w:eastAsia="宋体" w:cs="Times New Roman"/>
                <w:b w:val="0"/>
                <w:bCs/>
                <w:i w:val="0"/>
                <w:iCs/>
                <w:color w:val="auto"/>
                <w:sz w:val="20"/>
                <w:szCs w:val="20"/>
                <w:lang w:eastAsia="ja-JP"/>
              </w:rPr>
              <w:t>Alt.1: Set A and Set B are different (Set B is NOT a subset of Set A)</w:t>
            </w:r>
          </w:p>
          <w:p>
            <w:pPr>
              <w:keepNext w:val="0"/>
              <w:keepLines w:val="0"/>
              <w:pageBreakBefore w:val="0"/>
              <w:widowControl w:val="0"/>
              <w:numPr>
                <w:ilvl w:val="0"/>
                <w:numId w:val="7"/>
              </w:numPr>
              <w:kinsoku/>
              <w:wordWrap/>
              <w:overflowPunct w:val="0"/>
              <w:topLinePunct w:val="0"/>
              <w:autoSpaceDE w:val="0"/>
              <w:autoSpaceDN w:val="0"/>
              <w:bidi w:val="0"/>
              <w:adjustRightInd w:val="0"/>
              <w:snapToGrid w:val="0"/>
              <w:spacing w:before="95" w:beforeLines="30" w:after="95" w:afterLines="30" w:line="288" w:lineRule="auto"/>
              <w:contextualSpacing/>
              <w:textAlignment w:val="baseline"/>
              <w:rPr>
                <w:rFonts w:hint="default" w:ascii="Times New Roman" w:hAnsi="Times New Roman" w:eastAsia="宋体" w:cs="Times New Roman"/>
                <w:b w:val="0"/>
                <w:bCs/>
                <w:i w:val="0"/>
                <w:iCs/>
                <w:color w:val="auto"/>
                <w:sz w:val="20"/>
                <w:szCs w:val="20"/>
                <w:lang w:eastAsia="ja-JP"/>
              </w:rPr>
            </w:pPr>
            <w:r>
              <w:rPr>
                <w:rFonts w:hint="default" w:ascii="Times New Roman" w:hAnsi="Times New Roman" w:eastAsia="宋体" w:cs="Times New Roman"/>
                <w:b w:val="0"/>
                <w:bCs/>
                <w:i w:val="0"/>
                <w:iCs/>
                <w:color w:val="auto"/>
                <w:sz w:val="20"/>
                <w:szCs w:val="20"/>
                <w:lang w:eastAsia="ja-JP"/>
              </w:rPr>
              <w:t>Alt.2: Set B is a subset of Set A</w:t>
            </w:r>
          </w:p>
          <w:p>
            <w:pPr>
              <w:keepNext w:val="0"/>
              <w:keepLines w:val="0"/>
              <w:pageBreakBefore w:val="0"/>
              <w:widowControl w:val="0"/>
              <w:numPr>
                <w:ilvl w:val="0"/>
                <w:numId w:val="7"/>
              </w:numPr>
              <w:kinsoku/>
              <w:wordWrap/>
              <w:overflowPunct w:val="0"/>
              <w:topLinePunct w:val="0"/>
              <w:autoSpaceDE w:val="0"/>
              <w:autoSpaceDN w:val="0"/>
              <w:bidi w:val="0"/>
              <w:adjustRightInd w:val="0"/>
              <w:snapToGrid w:val="0"/>
              <w:spacing w:before="95" w:beforeLines="30" w:after="95" w:afterLines="30" w:line="288" w:lineRule="auto"/>
              <w:contextualSpacing/>
              <w:textAlignment w:val="baseline"/>
              <w:rPr>
                <w:color w:val="auto"/>
                <w:sz w:val="20"/>
                <w:szCs w:val="20"/>
              </w:rPr>
            </w:pPr>
            <w:r>
              <w:rPr>
                <w:rFonts w:hint="default" w:ascii="Times New Roman" w:hAnsi="Times New Roman" w:eastAsia="宋体" w:cs="Times New Roman"/>
                <w:b w:val="0"/>
                <w:bCs/>
                <w:i w:val="0"/>
                <w:iCs/>
                <w:color w:val="auto"/>
                <w:sz w:val="20"/>
                <w:szCs w:val="20"/>
                <w:lang w:eastAsia="ja-JP"/>
              </w:rPr>
              <w:t>Note1: Set A is for DL beam prediction and Set B is for DL beam measurement.</w:t>
            </w:r>
          </w:p>
          <w:p>
            <w:pPr>
              <w:keepNext w:val="0"/>
              <w:keepLines w:val="0"/>
              <w:pageBreakBefore w:val="0"/>
              <w:widowControl w:val="0"/>
              <w:numPr>
                <w:ilvl w:val="0"/>
                <w:numId w:val="7"/>
              </w:numPr>
              <w:kinsoku/>
              <w:wordWrap/>
              <w:overflowPunct w:val="0"/>
              <w:topLinePunct w:val="0"/>
              <w:autoSpaceDE w:val="0"/>
              <w:autoSpaceDN w:val="0"/>
              <w:bidi w:val="0"/>
              <w:adjustRightInd w:val="0"/>
              <w:snapToGrid w:val="0"/>
              <w:spacing w:before="95" w:beforeLines="30" w:after="95" w:afterLines="30" w:line="288" w:lineRule="auto"/>
              <w:contextualSpacing/>
              <w:textAlignment w:val="baseline"/>
              <w:rPr>
                <w:color w:val="auto"/>
                <w:sz w:val="20"/>
                <w:szCs w:val="20"/>
              </w:rPr>
            </w:pPr>
            <w:r>
              <w:rPr>
                <w:rFonts w:hint="default" w:ascii="Times New Roman" w:hAnsi="Times New Roman" w:eastAsia="宋体" w:cs="Times New Roman"/>
                <w:b w:val="0"/>
                <w:bCs/>
                <w:i w:val="0"/>
                <w:iCs/>
                <w:color w:val="auto"/>
                <w:sz w:val="20"/>
                <w:szCs w:val="20"/>
                <w:lang w:eastAsia="ja-JP"/>
              </w:rPr>
              <w:t>Note2: The beam patterns of Set A and Set B can be clarified by the companies.</w:t>
            </w:r>
          </w:p>
        </w:tc>
      </w:tr>
    </w:tbl>
    <w:p>
      <w:pPr>
        <w:snapToGrid w:val="0"/>
        <w:spacing w:before="72" w:beforeLines="30" w:after="72" w:afterLines="30" w:line="288" w:lineRule="auto"/>
        <w:jc w:val="both"/>
        <w:rPr>
          <w:rFonts w:hint="default" w:eastAsia="宋体"/>
          <w:sz w:val="20"/>
          <w:szCs w:val="20"/>
          <w:lang w:val="en-US" w:eastAsia="zh-CN"/>
        </w:rPr>
      </w:pPr>
      <w:bookmarkStart w:id="2" w:name="_Hlk111130194"/>
      <w:r>
        <w:rPr>
          <w:rFonts w:hint="eastAsia" w:eastAsia="Times New Roman"/>
          <w:sz w:val="20"/>
          <w:szCs w:val="20"/>
          <w:lang w:val="en-GB"/>
        </w:rPr>
        <w:t>As far as we are concerned</w:t>
      </w:r>
      <w:bookmarkEnd w:id="2"/>
      <w:r>
        <w:rPr>
          <w:rFonts w:hint="eastAsia" w:eastAsia="Times New Roman"/>
          <w:sz w:val="20"/>
          <w:szCs w:val="20"/>
          <w:lang w:val="en-GB"/>
        </w:rPr>
        <w:t>, both the hierarchical based method in Alt.</w:t>
      </w:r>
      <w:r>
        <w:rPr>
          <w:rFonts w:hint="eastAsia"/>
          <w:sz w:val="20"/>
          <w:szCs w:val="20"/>
          <w:lang w:val="en-US" w:eastAsia="zh-CN"/>
        </w:rPr>
        <w:t>1</w:t>
      </w:r>
      <w:r>
        <w:rPr>
          <w:rFonts w:hint="eastAsia" w:eastAsia="Times New Roman"/>
          <w:sz w:val="20"/>
          <w:szCs w:val="20"/>
          <w:lang w:val="en-GB"/>
        </w:rPr>
        <w:t xml:space="preserve"> </w:t>
      </w:r>
      <w:r>
        <w:rPr>
          <w:rFonts w:hint="eastAsia"/>
          <w:sz w:val="20"/>
          <w:szCs w:val="20"/>
          <w:lang w:val="en-US" w:eastAsia="zh-CN"/>
        </w:rPr>
        <w:t xml:space="preserve">and </w:t>
      </w:r>
      <w:r>
        <w:rPr>
          <w:rFonts w:hint="eastAsia" w:eastAsia="Times New Roman"/>
          <w:sz w:val="20"/>
          <w:szCs w:val="20"/>
          <w:lang w:val="en-GB"/>
        </w:rPr>
        <w:t>the sub-sampling based method in Alt.</w:t>
      </w:r>
      <w:r>
        <w:rPr>
          <w:rFonts w:hint="eastAsia"/>
          <w:sz w:val="20"/>
          <w:szCs w:val="20"/>
          <w:lang w:val="en-US" w:eastAsia="zh-CN"/>
        </w:rPr>
        <w:t xml:space="preserve">2 </w:t>
      </w:r>
      <w:r>
        <w:rPr>
          <w:rFonts w:hint="eastAsia" w:eastAsia="Times New Roman"/>
          <w:sz w:val="20"/>
          <w:szCs w:val="20"/>
          <w:lang w:val="en-GB"/>
        </w:rPr>
        <w:t xml:space="preserve">can be considered for spatial domain beam prediction at the early stage of the SI, and down selection may be needed when evaluation results are available. In the sub-sampling based </w:t>
      </w:r>
      <w:r>
        <w:rPr>
          <w:rFonts w:hint="eastAsia"/>
          <w:sz w:val="20"/>
          <w:szCs w:val="20"/>
        </w:rPr>
        <w:t>method</w:t>
      </w:r>
      <w:r>
        <w:rPr>
          <w:rFonts w:hint="eastAsia"/>
          <w:sz w:val="20"/>
          <w:szCs w:val="20"/>
          <w:lang w:val="en-US" w:eastAsia="zh-CN"/>
        </w:rPr>
        <w:t xml:space="preserve"> in Alt.2</w:t>
      </w:r>
      <w:r>
        <w:rPr>
          <w:rFonts w:hint="eastAsia" w:eastAsia="Times New Roman"/>
          <w:sz w:val="20"/>
          <w:szCs w:val="20"/>
          <w:lang w:val="en-GB"/>
        </w:rPr>
        <w:t xml:space="preserve">, the beam sets for measurement and for prediction originate from the same codebook </w:t>
      </w:r>
      <w:r>
        <w:rPr>
          <w:rFonts w:hint="eastAsia"/>
          <w:sz w:val="20"/>
          <w:szCs w:val="20"/>
          <w:lang w:val="en-US" w:eastAsia="zh-CN"/>
        </w:rPr>
        <w:t>for beamforming</w:t>
      </w:r>
      <w:r>
        <w:rPr>
          <w:rFonts w:hint="eastAsia" w:eastAsia="Times New Roman"/>
          <w:sz w:val="20"/>
          <w:szCs w:val="20"/>
          <w:lang w:val="en-GB"/>
        </w:rPr>
        <w:t xml:space="preserve">. Therefore, the implementation is relatively simple. In contrast, different </w:t>
      </w:r>
      <w:r>
        <w:rPr>
          <w:rFonts w:hint="eastAsia"/>
          <w:sz w:val="20"/>
          <w:szCs w:val="20"/>
          <w:lang w:val="en-US" w:eastAsia="zh-CN"/>
        </w:rPr>
        <w:t>codebooks</w:t>
      </w:r>
      <w:r>
        <w:rPr>
          <w:rFonts w:hint="eastAsia" w:eastAsia="Times New Roman"/>
          <w:sz w:val="20"/>
          <w:szCs w:val="20"/>
          <w:lang w:val="en-GB"/>
        </w:rPr>
        <w:t xml:space="preserve"> </w:t>
      </w:r>
      <w:r>
        <w:rPr>
          <w:rFonts w:hint="eastAsia"/>
          <w:sz w:val="20"/>
          <w:szCs w:val="20"/>
          <w:lang w:val="en-US" w:eastAsia="zh-CN"/>
        </w:rPr>
        <w:t xml:space="preserve">may be </w:t>
      </w:r>
      <w:r>
        <w:rPr>
          <w:rFonts w:hint="eastAsia" w:eastAsia="Times New Roman"/>
          <w:sz w:val="20"/>
          <w:szCs w:val="20"/>
          <w:lang w:val="en-GB"/>
        </w:rPr>
        <w:t>used in the hierarchical based method in Alt.</w:t>
      </w:r>
      <w:r>
        <w:rPr>
          <w:rFonts w:hint="eastAsia"/>
          <w:sz w:val="20"/>
          <w:szCs w:val="20"/>
          <w:lang w:val="en-US" w:eastAsia="zh-CN"/>
        </w:rPr>
        <w:t>1</w:t>
      </w:r>
      <w:r>
        <w:rPr>
          <w:rFonts w:hint="eastAsia" w:eastAsia="Times New Roman"/>
          <w:sz w:val="20"/>
          <w:szCs w:val="20"/>
          <w:lang w:val="en-GB"/>
        </w:rPr>
        <w:t xml:space="preserve">. Different methods of forming wide and narrow beams may have a great impact on AI </w:t>
      </w:r>
      <w:r>
        <w:rPr>
          <w:rFonts w:hint="eastAsia"/>
          <w:sz w:val="20"/>
          <w:szCs w:val="20"/>
        </w:rPr>
        <w:t xml:space="preserve">inference </w:t>
      </w:r>
      <w:r>
        <w:rPr>
          <w:rFonts w:hint="eastAsia" w:eastAsia="Times New Roman"/>
          <w:sz w:val="20"/>
          <w:szCs w:val="20"/>
          <w:lang w:val="en-GB"/>
        </w:rPr>
        <w:t xml:space="preserve">performance and the quality of existing communication services. </w:t>
      </w:r>
      <w:r>
        <w:rPr>
          <w:rFonts w:hint="eastAsia"/>
          <w:sz w:val="20"/>
          <w:szCs w:val="20"/>
          <w:lang w:val="en-US" w:eastAsia="zh-CN"/>
        </w:rPr>
        <w:t xml:space="preserve">Nevertheless, Alt.1 may match more with the current spec that SSB (wide beams) have to be sent anyway. </w:t>
      </w:r>
    </w:p>
    <w:p>
      <w:pPr>
        <w:snapToGrid w:val="0"/>
        <w:spacing w:before="72" w:beforeLines="30" w:after="72" w:afterLines="30" w:line="288" w:lineRule="auto"/>
        <w:jc w:val="both"/>
        <w:rPr>
          <w:rFonts w:eastAsia="Times New Roman"/>
          <w:sz w:val="20"/>
          <w:szCs w:val="20"/>
          <w:lang w:val="en-GB"/>
        </w:rPr>
      </w:pPr>
      <w:r>
        <w:rPr>
          <w:rFonts w:hint="eastAsia" w:eastAsia="Times New Roman"/>
          <w:sz w:val="20"/>
          <w:szCs w:val="20"/>
          <w:lang w:val="en-GB"/>
        </w:rPr>
        <w:t xml:space="preserve">In the sub-sampling based method, measurement results on partial beams are used as AI input to predict the beam quality information of the whole beam space. Obviously, the number of beams for measurement (i.e., set B) and for prediction (i.e., set A) is related to the trade-off between inference performance and RS overhead for beam measurement. Specifically, the </w:t>
      </w:r>
      <w:r>
        <w:rPr>
          <w:rFonts w:eastAsia="Times New Roman"/>
          <w:sz w:val="20"/>
          <w:szCs w:val="20"/>
          <w:lang w:val="en-GB"/>
        </w:rPr>
        <w:t>more</w:t>
      </w:r>
      <w:r>
        <w:rPr>
          <w:rFonts w:hint="eastAsia" w:eastAsia="Times New Roman"/>
          <w:sz w:val="20"/>
          <w:szCs w:val="20"/>
          <w:lang w:val="en-GB"/>
        </w:rPr>
        <w:t xml:space="preserve"> beams </w:t>
      </w:r>
      <w:r>
        <w:rPr>
          <w:rFonts w:eastAsia="Times New Roman"/>
          <w:sz w:val="20"/>
          <w:szCs w:val="20"/>
          <w:lang w:val="en-GB"/>
        </w:rPr>
        <w:t>are required</w:t>
      </w:r>
      <w:r>
        <w:rPr>
          <w:rFonts w:hint="eastAsia" w:eastAsia="Times New Roman"/>
          <w:sz w:val="20"/>
          <w:szCs w:val="20"/>
          <w:lang w:val="en-GB"/>
        </w:rPr>
        <w:t xml:space="preserve"> for measurement, the higher </w:t>
      </w:r>
      <w:r>
        <w:rPr>
          <w:rFonts w:eastAsia="Times New Roman"/>
          <w:sz w:val="20"/>
          <w:szCs w:val="20"/>
          <w:lang w:val="en-GB"/>
        </w:rPr>
        <w:t xml:space="preserve">would be </w:t>
      </w:r>
      <w:r>
        <w:rPr>
          <w:rFonts w:hint="eastAsia"/>
          <w:sz w:val="20"/>
          <w:szCs w:val="20"/>
        </w:rPr>
        <w:t xml:space="preserve">the RS </w:t>
      </w:r>
      <w:r>
        <w:rPr>
          <w:rFonts w:hint="eastAsia" w:eastAsia="Times New Roman"/>
          <w:sz w:val="20"/>
          <w:szCs w:val="20"/>
          <w:lang w:val="en-GB"/>
        </w:rPr>
        <w:t>overhead of beam measurement. At the same time, more channel correlation information can be extracted by the AI model, resulting in a better inference performance. An ideal approach may be to dynamically learn or adjust the number of beams for measurement according to requirements for beam prediction performance. As for the beam</w:t>
      </w:r>
      <w:r>
        <w:rPr>
          <w:rFonts w:hint="eastAsia"/>
          <w:sz w:val="20"/>
          <w:szCs w:val="20"/>
          <w:lang w:val="en-US" w:eastAsia="zh-CN"/>
        </w:rPr>
        <w:t xml:space="preserve"> </w:t>
      </w:r>
      <w:r>
        <w:rPr>
          <w:rFonts w:hint="eastAsia" w:eastAsia="Times New Roman"/>
          <w:sz w:val="20"/>
          <w:szCs w:val="20"/>
          <w:lang w:val="en-GB"/>
        </w:rPr>
        <w:t>pattern</w:t>
      </w:r>
      <w:r>
        <w:rPr>
          <w:rFonts w:hint="eastAsia"/>
          <w:sz w:val="20"/>
          <w:szCs w:val="20"/>
          <w:lang w:val="en-US" w:eastAsia="zh-CN"/>
        </w:rPr>
        <w:t xml:space="preserve"> for measurement</w:t>
      </w:r>
      <w:r>
        <w:rPr>
          <w:rFonts w:hint="eastAsia" w:eastAsia="Times New Roman"/>
          <w:sz w:val="20"/>
          <w:szCs w:val="20"/>
          <w:lang w:val="en-GB"/>
        </w:rPr>
        <w:t>, the training samples required for a fixed beam pattern are relatively small and a stable performance gain can be obtained</w:t>
      </w:r>
      <w:r>
        <w:rPr>
          <w:rFonts w:hint="eastAsia"/>
          <w:sz w:val="20"/>
          <w:szCs w:val="20"/>
          <w:lang w:val="en-US" w:eastAsia="zh-CN"/>
        </w:rPr>
        <w:t xml:space="preserve"> compared with a random beam pattern</w:t>
      </w:r>
      <w:r>
        <w:rPr>
          <w:rFonts w:hint="eastAsia"/>
          <w:sz w:val="20"/>
          <w:szCs w:val="20"/>
        </w:rPr>
        <w:t xml:space="preserve"> [</w:t>
      </w:r>
      <w:r>
        <w:rPr>
          <w:rFonts w:hint="eastAsia"/>
          <w:sz w:val="20"/>
          <w:szCs w:val="20"/>
          <w:lang w:val="en-US" w:eastAsia="zh-CN"/>
        </w:rPr>
        <w:t>5</w:t>
      </w:r>
      <w:r>
        <w:rPr>
          <w:rFonts w:hint="eastAsia"/>
          <w:sz w:val="20"/>
          <w:szCs w:val="20"/>
        </w:rPr>
        <w:t>]</w:t>
      </w:r>
      <w:r>
        <w:rPr>
          <w:rFonts w:hint="eastAsia" w:eastAsia="Times New Roman"/>
          <w:sz w:val="20"/>
          <w:szCs w:val="20"/>
          <w:lang w:val="en-GB"/>
        </w:rPr>
        <w:t xml:space="preserve">. </w:t>
      </w:r>
      <w:r>
        <w:rPr>
          <w:rFonts w:hint="eastAsia"/>
          <w:sz w:val="20"/>
          <w:szCs w:val="20"/>
        </w:rPr>
        <w:t>F</w:t>
      </w:r>
      <w:r>
        <w:rPr>
          <w:rFonts w:hint="eastAsia" w:eastAsia="Times New Roman"/>
          <w:sz w:val="20"/>
          <w:szCs w:val="20"/>
          <w:lang w:val="en-GB"/>
        </w:rPr>
        <w:t xml:space="preserve">or the case of the random </w:t>
      </w:r>
      <w:r>
        <w:rPr>
          <w:rFonts w:hint="eastAsia"/>
          <w:sz w:val="20"/>
          <w:szCs w:val="20"/>
          <w:lang w:val="en-US" w:eastAsia="zh-CN"/>
        </w:rPr>
        <w:t xml:space="preserve">beam </w:t>
      </w:r>
      <w:r>
        <w:rPr>
          <w:rFonts w:hint="eastAsia" w:eastAsia="Times New Roman"/>
          <w:sz w:val="20"/>
          <w:szCs w:val="20"/>
          <w:lang w:val="en-GB"/>
        </w:rPr>
        <w:t xml:space="preserve">pattern being used, each beam may need to be accompanied by additional ID information, resulting in </w:t>
      </w:r>
      <w:r>
        <w:rPr>
          <w:rFonts w:hint="eastAsia"/>
          <w:sz w:val="20"/>
          <w:szCs w:val="20"/>
          <w:lang w:val="en-US" w:eastAsia="zh-CN"/>
        </w:rPr>
        <w:t xml:space="preserve">potential </w:t>
      </w:r>
      <w:r>
        <w:rPr>
          <w:rFonts w:hint="eastAsia" w:eastAsia="Times New Roman"/>
          <w:sz w:val="20"/>
          <w:szCs w:val="20"/>
          <w:lang w:val="en-GB"/>
        </w:rPr>
        <w:t>standardization efforts.</w:t>
      </w:r>
    </w:p>
    <w:p>
      <w:pPr>
        <w:snapToGrid w:val="0"/>
        <w:spacing w:before="72" w:beforeLines="30" w:after="72" w:afterLines="30" w:line="288" w:lineRule="auto"/>
        <w:jc w:val="both"/>
        <w:rPr>
          <w:rFonts w:eastAsia="Times New Roman"/>
          <w:i/>
          <w:iCs/>
          <w:sz w:val="20"/>
          <w:szCs w:val="20"/>
          <w:lang w:val="en-GB"/>
        </w:rPr>
      </w:pPr>
      <w:r>
        <w:rPr>
          <w:rFonts w:hint="eastAsia" w:eastAsia="Times New Roman"/>
          <w:b/>
          <w:bCs/>
          <w:i/>
          <w:iCs/>
          <w:sz w:val="20"/>
          <w:szCs w:val="20"/>
          <w:lang w:val="en-GB"/>
        </w:rPr>
        <w:t xml:space="preserve">Observation </w:t>
      </w:r>
      <w:r>
        <w:rPr>
          <w:rFonts w:hint="eastAsia"/>
          <w:b/>
          <w:bCs/>
          <w:i/>
          <w:iCs/>
          <w:sz w:val="20"/>
          <w:szCs w:val="20"/>
          <w:lang w:val="en-US" w:eastAsia="zh-CN"/>
        </w:rPr>
        <w:t>2</w:t>
      </w:r>
      <w:r>
        <w:rPr>
          <w:rFonts w:hint="eastAsia" w:eastAsia="Times New Roman"/>
          <w:b/>
          <w:bCs/>
          <w:i/>
          <w:iCs/>
          <w:sz w:val="20"/>
          <w:szCs w:val="20"/>
          <w:lang w:val="en-GB"/>
        </w:rPr>
        <w:t xml:space="preserve">: </w:t>
      </w:r>
      <w:r>
        <w:rPr>
          <w:rFonts w:hint="eastAsia" w:eastAsia="Times New Roman"/>
          <w:i/>
          <w:iCs/>
          <w:sz w:val="20"/>
          <w:szCs w:val="20"/>
          <w:lang w:val="en-GB"/>
        </w:rPr>
        <w:t xml:space="preserve">The number of beams for measurement (i.e., set B) and for prediction (i.e., set A) is related to the trade-off between inference performance and </w:t>
      </w:r>
      <w:r>
        <w:rPr>
          <w:rFonts w:hint="eastAsia"/>
          <w:i/>
          <w:iCs/>
          <w:sz w:val="20"/>
          <w:szCs w:val="20"/>
        </w:rPr>
        <w:t>RS</w:t>
      </w:r>
      <w:r>
        <w:rPr>
          <w:rFonts w:hint="eastAsia" w:eastAsia="Times New Roman"/>
          <w:i/>
          <w:iCs/>
          <w:sz w:val="20"/>
          <w:szCs w:val="20"/>
          <w:lang w:val="en-GB"/>
        </w:rPr>
        <w:t xml:space="preserve"> overhead</w:t>
      </w:r>
      <w:r>
        <w:rPr>
          <w:rFonts w:hint="eastAsia"/>
          <w:i/>
          <w:iCs/>
          <w:sz w:val="20"/>
          <w:szCs w:val="20"/>
        </w:rPr>
        <w:t xml:space="preserve"> for beam measurement</w:t>
      </w:r>
      <w:r>
        <w:rPr>
          <w:rFonts w:hint="eastAsia" w:eastAsia="Times New Roman"/>
          <w:i/>
          <w:iCs/>
          <w:sz w:val="20"/>
          <w:szCs w:val="20"/>
          <w:lang w:val="en-GB"/>
        </w:rPr>
        <w:t xml:space="preserve">. </w:t>
      </w:r>
    </w:p>
    <w:p>
      <w:pPr>
        <w:snapToGrid w:val="0"/>
        <w:spacing w:before="72" w:beforeLines="30" w:after="72" w:afterLines="30" w:line="288" w:lineRule="auto"/>
        <w:jc w:val="both"/>
        <w:rPr>
          <w:rFonts w:eastAsia="Times New Roman"/>
          <w:i/>
          <w:iCs/>
          <w:sz w:val="20"/>
          <w:szCs w:val="20"/>
          <w:lang w:val="en-GB"/>
        </w:rPr>
      </w:pPr>
      <w:r>
        <w:rPr>
          <w:rFonts w:hint="eastAsia" w:eastAsia="Times New Roman"/>
          <w:b/>
          <w:bCs/>
          <w:i/>
          <w:iCs/>
          <w:sz w:val="20"/>
          <w:szCs w:val="20"/>
          <w:lang w:val="en-GB"/>
        </w:rPr>
        <w:t xml:space="preserve">Proposal </w:t>
      </w:r>
      <w:r>
        <w:rPr>
          <w:rFonts w:hint="eastAsia"/>
          <w:b/>
          <w:bCs/>
          <w:i/>
          <w:iCs/>
          <w:sz w:val="20"/>
          <w:szCs w:val="20"/>
          <w:lang w:val="en-US" w:eastAsia="zh-CN"/>
        </w:rPr>
        <w:t>3</w:t>
      </w:r>
      <w:r>
        <w:rPr>
          <w:rFonts w:hint="eastAsia" w:eastAsia="Times New Roman"/>
          <w:b/>
          <w:bCs/>
          <w:i/>
          <w:iCs/>
          <w:sz w:val="20"/>
          <w:szCs w:val="20"/>
          <w:lang w:val="en-GB"/>
        </w:rPr>
        <w:t>:</w:t>
      </w:r>
      <w:r>
        <w:rPr>
          <w:rFonts w:hint="eastAsia" w:eastAsia="Times New Roman"/>
          <w:i/>
          <w:iCs/>
          <w:sz w:val="20"/>
          <w:szCs w:val="20"/>
          <w:lang w:val="en-GB"/>
        </w:rPr>
        <w:t xml:space="preserve"> </w:t>
      </w:r>
      <w:r>
        <w:rPr>
          <w:rFonts w:hint="eastAsia"/>
          <w:i/>
          <w:iCs/>
          <w:sz w:val="20"/>
          <w:szCs w:val="20"/>
        </w:rPr>
        <w:t>T</w:t>
      </w:r>
      <w:r>
        <w:rPr>
          <w:rFonts w:hint="eastAsia" w:eastAsia="Times New Roman"/>
          <w:i/>
          <w:iCs/>
          <w:sz w:val="20"/>
          <w:szCs w:val="20"/>
          <w:lang w:val="en-GB"/>
        </w:rPr>
        <w:t>he sub-sampling based method in Alt.</w:t>
      </w:r>
      <w:r>
        <w:rPr>
          <w:rFonts w:hint="eastAsia"/>
          <w:i/>
          <w:iCs/>
          <w:sz w:val="20"/>
          <w:szCs w:val="20"/>
          <w:lang w:val="en-US" w:eastAsia="zh-CN"/>
        </w:rPr>
        <w:t>2</w:t>
      </w:r>
      <w:r>
        <w:rPr>
          <w:rFonts w:hint="eastAsia"/>
          <w:i/>
          <w:iCs/>
          <w:sz w:val="20"/>
          <w:szCs w:val="20"/>
        </w:rPr>
        <w:t xml:space="preserve"> can serve as a </w:t>
      </w:r>
      <w:r>
        <w:rPr>
          <w:i/>
          <w:iCs/>
          <w:sz w:val="20"/>
          <w:szCs w:val="20"/>
        </w:rPr>
        <w:t>starting point</w:t>
      </w:r>
      <w:r>
        <w:rPr>
          <w:rFonts w:hint="eastAsia"/>
          <w:i/>
          <w:iCs/>
          <w:sz w:val="20"/>
          <w:szCs w:val="20"/>
        </w:rPr>
        <w:t xml:space="preserve"> </w:t>
      </w:r>
      <w:r>
        <w:rPr>
          <w:rFonts w:hint="eastAsia" w:eastAsia="Times New Roman"/>
          <w:i/>
          <w:iCs/>
          <w:sz w:val="20"/>
          <w:szCs w:val="20"/>
          <w:lang w:val="en-GB"/>
        </w:rPr>
        <w:t>for</w:t>
      </w:r>
      <w:r>
        <w:rPr>
          <w:rFonts w:eastAsia="Times New Roman"/>
          <w:i/>
          <w:iCs/>
          <w:sz w:val="20"/>
          <w:szCs w:val="20"/>
          <w:lang w:val="en-GB"/>
        </w:rPr>
        <w:t xml:space="preserve"> the study of</w:t>
      </w:r>
      <w:r>
        <w:rPr>
          <w:rFonts w:hint="eastAsia" w:eastAsia="Times New Roman"/>
          <w:i/>
          <w:iCs/>
          <w:sz w:val="20"/>
          <w:szCs w:val="20"/>
          <w:lang w:val="en-GB"/>
        </w:rPr>
        <w:t xml:space="preserve"> spatial domain beam prediction.</w:t>
      </w:r>
    </w:p>
    <w:p>
      <w:pPr>
        <w:snapToGrid w:val="0"/>
        <w:spacing w:before="72" w:beforeLines="30" w:after="72" w:afterLines="30" w:line="288" w:lineRule="auto"/>
        <w:jc w:val="both"/>
        <w:rPr>
          <w:rFonts w:eastAsia="Times New Roman"/>
          <w:i/>
          <w:iCs/>
          <w:sz w:val="20"/>
          <w:szCs w:val="20"/>
          <w:lang w:val="en-GB"/>
        </w:rPr>
      </w:pPr>
      <w:r>
        <w:rPr>
          <w:rFonts w:hint="eastAsia" w:eastAsia="Times New Roman"/>
          <w:b/>
          <w:bCs/>
          <w:i/>
          <w:iCs/>
          <w:sz w:val="20"/>
          <w:szCs w:val="20"/>
          <w:lang w:val="en-GB"/>
        </w:rPr>
        <w:t xml:space="preserve">Proposal </w:t>
      </w:r>
      <w:r>
        <w:rPr>
          <w:rFonts w:hint="eastAsia"/>
          <w:b/>
          <w:bCs/>
          <w:i/>
          <w:iCs/>
          <w:sz w:val="20"/>
          <w:szCs w:val="20"/>
          <w:lang w:val="en-US" w:eastAsia="zh-CN"/>
        </w:rPr>
        <w:t>4</w:t>
      </w:r>
      <w:r>
        <w:rPr>
          <w:rFonts w:hint="eastAsia" w:eastAsia="Times New Roman"/>
          <w:b/>
          <w:bCs/>
          <w:i/>
          <w:iCs/>
          <w:sz w:val="20"/>
          <w:szCs w:val="20"/>
          <w:lang w:val="en-GB"/>
        </w:rPr>
        <w:t xml:space="preserve">: </w:t>
      </w:r>
      <w:r>
        <w:rPr>
          <w:rFonts w:eastAsia="Times New Roman"/>
          <w:i/>
          <w:iCs/>
          <w:sz w:val="20"/>
          <w:szCs w:val="20"/>
        </w:rPr>
        <w:t xml:space="preserve">The </w:t>
      </w:r>
      <w:r>
        <w:rPr>
          <w:rFonts w:hint="eastAsia"/>
          <w:i/>
          <w:iCs/>
          <w:sz w:val="20"/>
          <w:szCs w:val="20"/>
        </w:rPr>
        <w:t>association in reference signals</w:t>
      </w:r>
      <w:r>
        <w:rPr>
          <w:rFonts w:eastAsia="Times New Roman"/>
          <w:i/>
          <w:iCs/>
          <w:sz w:val="20"/>
          <w:szCs w:val="20"/>
        </w:rPr>
        <w:t xml:space="preserve"> between </w:t>
      </w:r>
      <w:r>
        <w:rPr>
          <w:rFonts w:hint="eastAsia"/>
          <w:i/>
          <w:iCs/>
          <w:sz w:val="20"/>
          <w:szCs w:val="20"/>
        </w:rPr>
        <w:t>two</w:t>
      </w:r>
      <w:r>
        <w:rPr>
          <w:rFonts w:eastAsia="Times New Roman"/>
          <w:i/>
          <w:iCs/>
          <w:sz w:val="20"/>
          <w:szCs w:val="20"/>
        </w:rPr>
        <w:t xml:space="preserve"> sets with different </w:t>
      </w:r>
      <w:r>
        <w:rPr>
          <w:rFonts w:hint="eastAsia"/>
          <w:i/>
          <w:iCs/>
          <w:sz w:val="20"/>
          <w:szCs w:val="20"/>
        </w:rPr>
        <w:t xml:space="preserve">beam </w:t>
      </w:r>
      <w:r>
        <w:rPr>
          <w:rFonts w:hint="eastAsia"/>
          <w:i/>
          <w:iCs/>
          <w:sz w:val="20"/>
          <w:szCs w:val="20"/>
          <w:lang w:val="en-US" w:eastAsia="zh-CN"/>
        </w:rPr>
        <w:t>settings</w:t>
      </w:r>
      <w:r>
        <w:rPr>
          <w:rFonts w:hint="eastAsia" w:eastAsia="Times New Roman"/>
          <w:i/>
          <w:iCs/>
          <w:sz w:val="20"/>
          <w:szCs w:val="20"/>
          <w:lang w:val="en-GB"/>
        </w:rPr>
        <w:t xml:space="preserve"> need to be further studied.</w:t>
      </w:r>
    </w:p>
    <w:p>
      <w:pPr>
        <w:snapToGrid w:val="0"/>
        <w:spacing w:before="72" w:beforeLines="30" w:after="72" w:afterLines="30" w:line="288" w:lineRule="auto"/>
        <w:jc w:val="both"/>
        <w:rPr>
          <w:rFonts w:eastAsia="Times New Roman"/>
          <w:b/>
          <w:bCs/>
          <w:sz w:val="20"/>
          <w:szCs w:val="20"/>
          <w:u w:val="single"/>
          <w:lang w:val="en-GB"/>
        </w:rPr>
      </w:pPr>
      <w:r>
        <w:rPr>
          <w:rFonts w:hint="eastAsia" w:eastAsia="Times New Roman"/>
          <w:b/>
          <w:bCs/>
          <w:sz w:val="20"/>
          <w:szCs w:val="20"/>
          <w:u w:val="single"/>
          <w:lang w:val="en-GB"/>
        </w:rPr>
        <w:t>AI/ML input:</w:t>
      </w:r>
    </w:p>
    <w:p>
      <w:pPr>
        <w:snapToGrid w:val="0"/>
        <w:spacing w:before="72" w:beforeLines="30" w:after="72" w:afterLines="30" w:line="288" w:lineRule="auto"/>
        <w:jc w:val="both"/>
        <w:rPr>
          <w:rFonts w:eastAsia="Times New Roman"/>
          <w:sz w:val="20"/>
          <w:szCs w:val="20"/>
          <w:lang w:val="en-GB"/>
        </w:rPr>
      </w:pPr>
      <w:r>
        <w:rPr>
          <w:rFonts w:hint="eastAsia" w:eastAsia="Times New Roman"/>
          <w:sz w:val="20"/>
          <w:szCs w:val="20"/>
          <w:lang w:val="en-GB"/>
        </w:rPr>
        <w:t>Many alternatives for AI input were proposed</w:t>
      </w:r>
      <w:r>
        <w:rPr>
          <w:rFonts w:hint="eastAsia"/>
          <w:sz w:val="20"/>
          <w:szCs w:val="20"/>
          <w:lang w:val="en-US" w:eastAsia="zh-CN"/>
        </w:rPr>
        <w:t xml:space="preserve"> </w:t>
      </w:r>
      <w:r>
        <w:rPr>
          <w:rFonts w:hint="eastAsia" w:eastAsia="Times New Roman"/>
          <w:sz w:val="20"/>
          <w:szCs w:val="20"/>
          <w:lang w:val="en-GB"/>
        </w:rPr>
        <w:t>and the following conclusion was obtained</w:t>
      </w:r>
      <w:r>
        <w:rPr>
          <w:rFonts w:hint="eastAsia"/>
          <w:sz w:val="20"/>
          <w:szCs w:val="20"/>
          <w:lang w:val="en-US" w:eastAsia="zh-CN"/>
        </w:rPr>
        <w:t xml:space="preserve"> in RAN1#109-e</w:t>
      </w:r>
      <w:r>
        <w:rPr>
          <w:rFonts w:hint="eastAsia" w:eastAsia="Times New Roman"/>
          <w:sz w:val="20"/>
          <w:szCs w:val="20"/>
          <w:lang w:val="en-GB"/>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2" w:type="dxa"/>
          </w:tcPr>
          <w:p>
            <w:pPr>
              <w:snapToGrid w:val="0"/>
              <w:spacing w:before="72" w:beforeLines="30" w:after="72" w:afterLines="30" w:line="288" w:lineRule="auto"/>
              <w:rPr>
                <w:sz w:val="20"/>
                <w:szCs w:val="20"/>
              </w:rPr>
            </w:pPr>
            <w:r>
              <w:rPr>
                <w:sz w:val="20"/>
                <w:szCs w:val="20"/>
              </w:rPr>
              <w:t>Regarding the sub use case BM-Case1, further study the following alternatives for AI/ML input:</w:t>
            </w:r>
          </w:p>
          <w:p>
            <w:pPr>
              <w:numPr>
                <w:ilvl w:val="0"/>
                <w:numId w:val="11"/>
              </w:numPr>
              <w:snapToGrid w:val="0"/>
              <w:spacing w:before="72" w:beforeLines="30" w:after="72" w:afterLines="30" w:line="288" w:lineRule="auto"/>
              <w:rPr>
                <w:sz w:val="20"/>
                <w:szCs w:val="20"/>
              </w:rPr>
            </w:pPr>
            <w:r>
              <w:rPr>
                <w:sz w:val="20"/>
                <w:szCs w:val="20"/>
              </w:rPr>
              <w:t>Alt.1: Only L1-RSRP measurement based on Set B</w:t>
            </w:r>
          </w:p>
          <w:p>
            <w:pPr>
              <w:numPr>
                <w:ilvl w:val="0"/>
                <w:numId w:val="11"/>
              </w:numPr>
              <w:snapToGrid w:val="0"/>
              <w:spacing w:before="72" w:beforeLines="30" w:after="72" w:afterLines="30" w:line="288" w:lineRule="auto"/>
              <w:rPr>
                <w:sz w:val="20"/>
                <w:szCs w:val="20"/>
              </w:rPr>
            </w:pPr>
            <w:r>
              <w:rPr>
                <w:sz w:val="20"/>
                <w:szCs w:val="20"/>
              </w:rPr>
              <w:t>Alt.2: L1-RSRP measurement based on Set B and assistance information</w:t>
            </w:r>
          </w:p>
          <w:p>
            <w:pPr>
              <w:numPr>
                <w:ilvl w:val="1"/>
                <w:numId w:val="11"/>
              </w:numPr>
              <w:snapToGrid w:val="0"/>
              <w:spacing w:before="72" w:beforeLines="30" w:after="72" w:afterLines="30" w:line="288" w:lineRule="auto"/>
              <w:rPr>
                <w:sz w:val="20"/>
                <w:szCs w:val="20"/>
              </w:rPr>
            </w:pPr>
            <w:r>
              <w:rPr>
                <w:sz w:val="20"/>
                <w:szCs w:val="20"/>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pPr>
              <w:numPr>
                <w:ilvl w:val="2"/>
                <w:numId w:val="11"/>
              </w:numPr>
              <w:snapToGrid w:val="0"/>
              <w:spacing w:before="72" w:beforeLines="30" w:after="72" w:afterLines="30" w:line="288" w:lineRule="auto"/>
              <w:rPr>
                <w:sz w:val="20"/>
                <w:szCs w:val="20"/>
              </w:rPr>
            </w:pPr>
            <w:r>
              <w:rPr>
                <w:sz w:val="20"/>
                <w:szCs w:val="20"/>
              </w:rPr>
              <w:t> Note: The provision of assistance information may be infeasible due to the concern of disclosing proprietary information to the other side.</w:t>
            </w:r>
          </w:p>
          <w:p>
            <w:pPr>
              <w:numPr>
                <w:ilvl w:val="0"/>
                <w:numId w:val="11"/>
              </w:numPr>
              <w:snapToGrid w:val="0"/>
              <w:spacing w:before="72" w:beforeLines="30" w:after="72" w:afterLines="30" w:line="288" w:lineRule="auto"/>
              <w:rPr>
                <w:sz w:val="20"/>
                <w:szCs w:val="20"/>
              </w:rPr>
            </w:pPr>
            <w:r>
              <w:rPr>
                <w:sz w:val="20"/>
                <w:szCs w:val="20"/>
              </w:rPr>
              <w:t>Alt.3: CIR based on Set B</w:t>
            </w:r>
          </w:p>
          <w:p>
            <w:pPr>
              <w:numPr>
                <w:ilvl w:val="0"/>
                <w:numId w:val="11"/>
              </w:numPr>
              <w:snapToGrid w:val="0"/>
              <w:spacing w:before="72" w:beforeLines="30" w:after="72" w:afterLines="30" w:line="288" w:lineRule="auto"/>
              <w:rPr>
                <w:sz w:val="20"/>
                <w:szCs w:val="20"/>
              </w:rPr>
            </w:pPr>
            <w:r>
              <w:rPr>
                <w:sz w:val="20"/>
                <w:szCs w:val="20"/>
              </w:rPr>
              <w:t>Alt.4: L1-RSRP measurement based on Set B and the corresponding DL Tx and/or Rx beam ID</w:t>
            </w:r>
          </w:p>
          <w:p>
            <w:pPr>
              <w:numPr>
                <w:ilvl w:val="0"/>
                <w:numId w:val="11"/>
              </w:numPr>
              <w:snapToGrid w:val="0"/>
              <w:spacing w:before="72" w:beforeLines="30" w:after="72" w:afterLines="30" w:line="288" w:lineRule="auto"/>
              <w:rPr>
                <w:sz w:val="20"/>
                <w:szCs w:val="20"/>
              </w:rPr>
            </w:pPr>
            <w:r>
              <w:rPr>
                <w:sz w:val="20"/>
                <w:szCs w:val="20"/>
              </w:rPr>
              <w:t>Note1: It is up to companies to provide other alternative(s) including the combination of some alternatives</w:t>
            </w:r>
          </w:p>
          <w:p>
            <w:pPr>
              <w:numPr>
                <w:ilvl w:val="0"/>
                <w:numId w:val="11"/>
              </w:numPr>
              <w:snapToGrid w:val="0"/>
              <w:spacing w:before="72" w:beforeLines="30" w:after="72" w:afterLines="30" w:line="288" w:lineRule="auto"/>
              <w:rPr>
                <w:sz w:val="20"/>
                <w:szCs w:val="20"/>
              </w:rPr>
            </w:pPr>
            <w:r>
              <w:rPr>
                <w:sz w:val="20"/>
                <w:szCs w:val="20"/>
              </w:rPr>
              <w:t>Note2: All the inputs are “nominal” and only for discussion purpose.</w:t>
            </w:r>
          </w:p>
        </w:tc>
      </w:tr>
    </w:tbl>
    <w:p>
      <w:pPr>
        <w:snapToGrid w:val="0"/>
        <w:spacing w:before="72" w:beforeLines="30" w:after="72" w:afterLines="30" w:line="288" w:lineRule="auto"/>
        <w:jc w:val="both"/>
        <w:rPr>
          <w:rFonts w:eastAsia="Times New Roman"/>
          <w:sz w:val="20"/>
          <w:szCs w:val="20"/>
          <w:lang w:val="en-GB"/>
        </w:rPr>
      </w:pPr>
      <w:r>
        <w:rPr>
          <w:rFonts w:hint="eastAsia" w:eastAsia="Times New Roman"/>
          <w:sz w:val="20"/>
          <w:szCs w:val="20"/>
          <w:lang w:val="en-GB"/>
        </w:rPr>
        <w:t>The down selection of all alternatives is heavily dependent on evaluation results. For Alt.1 and Alt.4, the necessity of using beam ID as part of the AI input is directly related to the adopted beam pattern. If the beam set B for measurement uses a fixed beam pattern, only the corresponding measured RSRP need</w:t>
      </w:r>
      <w:r>
        <w:rPr>
          <w:rFonts w:hint="eastAsia"/>
          <w:sz w:val="20"/>
          <w:szCs w:val="20"/>
          <w:lang w:val="en-US" w:eastAsia="zh-CN"/>
        </w:rPr>
        <w:t>s</w:t>
      </w:r>
      <w:r>
        <w:rPr>
          <w:rFonts w:hint="eastAsia" w:eastAsia="Times New Roman"/>
          <w:sz w:val="20"/>
          <w:szCs w:val="20"/>
          <w:lang w:val="en-GB"/>
        </w:rPr>
        <w:t xml:space="preserve"> to be input to the AI model, </w:t>
      </w:r>
      <w:r>
        <w:rPr>
          <w:rFonts w:hint="eastAsia"/>
          <w:sz w:val="20"/>
          <w:szCs w:val="20"/>
          <w:lang w:val="en-US" w:eastAsia="zh-CN"/>
        </w:rPr>
        <w:t>resulting in</w:t>
      </w:r>
      <w:r>
        <w:rPr>
          <w:rFonts w:hint="eastAsia" w:eastAsia="Times New Roman"/>
          <w:sz w:val="20"/>
          <w:szCs w:val="20"/>
          <w:lang w:val="en-GB"/>
        </w:rPr>
        <w:t xml:space="preserve"> relatively less standardization work. However, if the beam set B for measurement uses a random beam pattern, it may be critical to include the corresponding beam ID as part of the model input to improve the inference accuracy. Wherein, the beam ID is utilized to identify the position of the corresponding beam in the beam space.</w:t>
      </w:r>
    </w:p>
    <w:p>
      <w:pPr>
        <w:snapToGrid w:val="0"/>
        <w:spacing w:before="72" w:beforeLines="30" w:after="72" w:afterLines="30" w:line="288" w:lineRule="auto"/>
        <w:jc w:val="both"/>
        <w:rPr>
          <w:rFonts w:eastAsia="Times New Roman"/>
          <w:sz w:val="20"/>
          <w:szCs w:val="20"/>
          <w:lang w:val="en-GB"/>
        </w:rPr>
      </w:pPr>
      <w:r>
        <w:rPr>
          <w:rFonts w:hint="eastAsia" w:eastAsia="Times New Roman"/>
          <w:sz w:val="20"/>
          <w:szCs w:val="20"/>
          <w:lang w:val="en-GB"/>
        </w:rPr>
        <w:t>For Alt.2, it is intuitively beneficial to have more available assistance information related to beam shape, UE location, etc., as AI input to improve the beam prediction accuracy. However, more assistan</w:t>
      </w:r>
      <w:r>
        <w:rPr>
          <w:rFonts w:hint="eastAsia"/>
          <w:sz w:val="20"/>
          <w:szCs w:val="20"/>
        </w:rPr>
        <w:t>ce</w:t>
      </w:r>
      <w:r>
        <w:rPr>
          <w:rFonts w:hint="eastAsia" w:eastAsia="Times New Roman"/>
          <w:sz w:val="20"/>
          <w:szCs w:val="20"/>
          <w:lang w:val="en-GB"/>
        </w:rPr>
        <w:t xml:space="preserve"> information also results in more complex neural networks and training overhead. According to simulation results provided in our accompanied contribution</w:t>
      </w:r>
      <w:r>
        <w:rPr>
          <w:rFonts w:hint="eastAsia"/>
          <w:sz w:val="20"/>
          <w:szCs w:val="20"/>
        </w:rPr>
        <w:t xml:space="preserve"> [</w:t>
      </w:r>
      <w:r>
        <w:rPr>
          <w:rFonts w:hint="eastAsia"/>
          <w:sz w:val="20"/>
          <w:szCs w:val="20"/>
          <w:lang w:val="en-US" w:eastAsia="zh-CN"/>
        </w:rPr>
        <w:t>5</w:t>
      </w:r>
      <w:r>
        <w:rPr>
          <w:rFonts w:hint="eastAsia"/>
          <w:sz w:val="20"/>
          <w:szCs w:val="20"/>
        </w:rPr>
        <w:t>]</w:t>
      </w:r>
      <w:r>
        <w:rPr>
          <w:rFonts w:hint="eastAsia" w:eastAsia="Times New Roman"/>
          <w:sz w:val="20"/>
          <w:szCs w:val="20"/>
          <w:lang w:val="en-GB"/>
        </w:rPr>
        <w:t>, a fairly good beam prediction performance can be obtained by using measurement results of the beam set B and/or beam IDs without other assistance information. Moreover, much of the assistan</w:t>
      </w:r>
      <w:r>
        <w:rPr>
          <w:rFonts w:hint="eastAsia"/>
          <w:sz w:val="20"/>
          <w:szCs w:val="20"/>
        </w:rPr>
        <w:t>ce</w:t>
      </w:r>
      <w:r>
        <w:rPr>
          <w:rFonts w:hint="eastAsia" w:eastAsia="Times New Roman"/>
          <w:sz w:val="20"/>
          <w:szCs w:val="20"/>
          <w:lang w:val="en-GB"/>
        </w:rPr>
        <w:t xml:space="preserve"> information mentioned in Alt.2 is </w:t>
      </w:r>
      <w:r>
        <w:rPr>
          <w:rFonts w:hint="eastAsia"/>
          <w:sz w:val="20"/>
          <w:szCs w:val="20"/>
        </w:rPr>
        <w:t>proprietary</w:t>
      </w:r>
      <w:r>
        <w:rPr>
          <w:rFonts w:hint="eastAsia" w:eastAsia="Times New Roman"/>
          <w:sz w:val="20"/>
          <w:szCs w:val="20"/>
          <w:lang w:val="en-GB"/>
        </w:rPr>
        <w:t xml:space="preserve"> information of the gNB or UE, which may be difficult to be </w:t>
      </w:r>
      <w:r>
        <w:rPr>
          <w:rFonts w:hint="eastAsia"/>
          <w:sz w:val="20"/>
          <w:szCs w:val="20"/>
          <w:lang w:val="en-US" w:eastAsia="zh-CN"/>
        </w:rPr>
        <w:t xml:space="preserve">obtained </w:t>
      </w:r>
      <w:r>
        <w:rPr>
          <w:rFonts w:hint="eastAsia" w:eastAsia="Times New Roman"/>
          <w:sz w:val="20"/>
          <w:szCs w:val="20"/>
          <w:lang w:val="en-GB"/>
        </w:rPr>
        <w:t>and shared with another vendor. Therefore, focu</w:t>
      </w:r>
      <w:r>
        <w:rPr>
          <w:rFonts w:hint="eastAsia"/>
          <w:sz w:val="20"/>
          <w:szCs w:val="20"/>
          <w:lang w:val="en-US" w:eastAsia="zh-CN"/>
        </w:rPr>
        <w:t>sing</w:t>
      </w:r>
      <w:r>
        <w:rPr>
          <w:rFonts w:hint="eastAsia" w:eastAsia="Times New Roman"/>
          <w:sz w:val="20"/>
          <w:szCs w:val="20"/>
          <w:lang w:val="en-GB"/>
        </w:rPr>
        <w:t xml:space="preserve"> the discussion on Alt.1 and Alt.4 would be a good starting point.</w:t>
      </w:r>
    </w:p>
    <w:p>
      <w:pPr>
        <w:snapToGrid w:val="0"/>
        <w:spacing w:before="72" w:beforeLines="30" w:after="72" w:afterLines="30" w:line="288" w:lineRule="auto"/>
        <w:jc w:val="both"/>
        <w:rPr>
          <w:rFonts w:eastAsia="Times New Roman"/>
          <w:i/>
          <w:iCs/>
          <w:sz w:val="20"/>
          <w:szCs w:val="20"/>
          <w:lang w:val="en-GB"/>
        </w:rPr>
      </w:pPr>
      <w:r>
        <w:rPr>
          <w:rFonts w:hint="eastAsia" w:eastAsia="Times New Roman"/>
          <w:b/>
          <w:bCs/>
          <w:i/>
          <w:iCs/>
          <w:sz w:val="20"/>
          <w:szCs w:val="20"/>
          <w:lang w:val="en-GB"/>
        </w:rPr>
        <w:t xml:space="preserve">Observation </w:t>
      </w:r>
      <w:r>
        <w:rPr>
          <w:rFonts w:hint="eastAsia"/>
          <w:b/>
          <w:bCs/>
          <w:i/>
          <w:iCs/>
          <w:sz w:val="20"/>
          <w:szCs w:val="20"/>
          <w:lang w:val="en-US" w:eastAsia="zh-CN"/>
        </w:rPr>
        <w:t>3</w:t>
      </w:r>
      <w:r>
        <w:rPr>
          <w:rFonts w:hint="eastAsia" w:eastAsia="Times New Roman"/>
          <w:b/>
          <w:bCs/>
          <w:i/>
          <w:iCs/>
          <w:sz w:val="20"/>
          <w:szCs w:val="20"/>
          <w:lang w:val="en-GB"/>
        </w:rPr>
        <w:t>:</w:t>
      </w:r>
      <w:r>
        <w:rPr>
          <w:rFonts w:hint="eastAsia" w:eastAsia="Times New Roman"/>
          <w:i/>
          <w:iCs/>
          <w:sz w:val="20"/>
          <w:szCs w:val="20"/>
          <w:lang w:val="en-GB"/>
        </w:rPr>
        <w:t xml:space="preserve"> Much of the assistan</w:t>
      </w:r>
      <w:r>
        <w:rPr>
          <w:rFonts w:hint="eastAsia"/>
          <w:i/>
          <w:iCs/>
          <w:sz w:val="20"/>
          <w:szCs w:val="20"/>
        </w:rPr>
        <w:t>ce</w:t>
      </w:r>
      <w:r>
        <w:rPr>
          <w:rFonts w:hint="eastAsia" w:eastAsia="Times New Roman"/>
          <w:i/>
          <w:iCs/>
          <w:sz w:val="20"/>
          <w:szCs w:val="20"/>
          <w:lang w:val="en-GB"/>
        </w:rPr>
        <w:t xml:space="preserve"> information mentioned in Alt.2 is proprietary information of the gNB or UE, which may be difficult to be </w:t>
      </w:r>
      <w:r>
        <w:rPr>
          <w:rFonts w:eastAsia="Times New Roman"/>
          <w:i/>
          <w:iCs/>
          <w:sz w:val="20"/>
          <w:szCs w:val="20"/>
          <w:lang w:val="en-GB"/>
        </w:rPr>
        <w:t>obtained</w:t>
      </w:r>
      <w:r>
        <w:rPr>
          <w:rFonts w:hint="eastAsia"/>
          <w:i/>
          <w:iCs/>
          <w:sz w:val="20"/>
          <w:szCs w:val="20"/>
        </w:rPr>
        <w:t xml:space="preserve"> </w:t>
      </w:r>
      <w:r>
        <w:rPr>
          <w:rFonts w:hint="eastAsia" w:eastAsia="Times New Roman"/>
          <w:i/>
          <w:iCs/>
          <w:sz w:val="20"/>
          <w:szCs w:val="20"/>
          <w:lang w:val="en-GB"/>
        </w:rPr>
        <w:t xml:space="preserve">and shared with </w:t>
      </w:r>
      <w:r>
        <w:rPr>
          <w:rFonts w:hint="eastAsia"/>
          <w:i/>
          <w:iCs/>
          <w:sz w:val="20"/>
          <w:szCs w:val="20"/>
        </w:rPr>
        <w:t>another vendor</w:t>
      </w:r>
      <w:r>
        <w:rPr>
          <w:rFonts w:hint="eastAsia" w:eastAsia="Times New Roman"/>
          <w:i/>
          <w:iCs/>
          <w:sz w:val="20"/>
          <w:szCs w:val="20"/>
          <w:lang w:val="en-GB"/>
        </w:rPr>
        <w:t xml:space="preserve">. </w:t>
      </w:r>
    </w:p>
    <w:p>
      <w:pPr>
        <w:snapToGrid w:val="0"/>
        <w:spacing w:before="72" w:beforeLines="30" w:after="72" w:afterLines="30" w:line="288" w:lineRule="auto"/>
        <w:jc w:val="both"/>
        <w:rPr>
          <w:rFonts w:eastAsia="Times New Roman"/>
          <w:i/>
          <w:iCs/>
          <w:sz w:val="20"/>
          <w:szCs w:val="20"/>
          <w:lang w:val="en-GB"/>
        </w:rPr>
      </w:pPr>
      <w:r>
        <w:rPr>
          <w:rFonts w:hint="eastAsia" w:eastAsia="Times New Roman"/>
          <w:b/>
          <w:bCs/>
          <w:i/>
          <w:iCs/>
          <w:sz w:val="20"/>
          <w:szCs w:val="20"/>
          <w:lang w:val="en-GB"/>
        </w:rPr>
        <w:t xml:space="preserve">Proposal </w:t>
      </w:r>
      <w:r>
        <w:rPr>
          <w:rFonts w:hint="eastAsia"/>
          <w:b/>
          <w:bCs/>
          <w:i/>
          <w:iCs/>
          <w:sz w:val="20"/>
          <w:szCs w:val="20"/>
          <w:lang w:val="en-US" w:eastAsia="zh-CN"/>
        </w:rPr>
        <w:t>5</w:t>
      </w:r>
      <w:r>
        <w:rPr>
          <w:rFonts w:hint="eastAsia" w:eastAsia="Times New Roman"/>
          <w:b/>
          <w:bCs/>
          <w:i/>
          <w:iCs/>
          <w:sz w:val="20"/>
          <w:szCs w:val="20"/>
          <w:lang w:val="en-GB"/>
        </w:rPr>
        <w:t>:</w:t>
      </w:r>
      <w:r>
        <w:rPr>
          <w:rFonts w:hint="eastAsia" w:eastAsia="Times New Roman"/>
          <w:i/>
          <w:iCs/>
          <w:sz w:val="20"/>
          <w:szCs w:val="20"/>
          <w:lang w:val="en-GB"/>
        </w:rPr>
        <w:t xml:space="preserve"> Focusing the discussion on Alt.1 and Alt.4 with only L1-RSRP measurement and the corresponding beam ID being taken into account for the AI input would be a good starting point.</w:t>
      </w:r>
    </w:p>
    <w:p>
      <w:pPr>
        <w:snapToGrid w:val="0"/>
        <w:spacing w:before="72" w:beforeLines="30" w:after="72" w:afterLines="30" w:line="288" w:lineRule="auto"/>
        <w:jc w:val="both"/>
        <w:rPr>
          <w:rFonts w:eastAsia="Times New Roman"/>
          <w:b/>
          <w:bCs/>
          <w:sz w:val="20"/>
          <w:szCs w:val="20"/>
          <w:u w:val="single"/>
          <w:lang w:val="en-GB"/>
        </w:rPr>
      </w:pPr>
      <w:r>
        <w:rPr>
          <w:rFonts w:hint="eastAsia" w:eastAsia="Times New Roman"/>
          <w:b/>
          <w:bCs/>
          <w:sz w:val="20"/>
          <w:szCs w:val="20"/>
          <w:u w:val="single"/>
          <w:lang w:val="en-GB"/>
        </w:rPr>
        <w:t>AI/ML output:</w:t>
      </w:r>
    </w:p>
    <w:p>
      <w:pPr>
        <w:snapToGrid w:val="0"/>
        <w:spacing w:before="72" w:beforeLines="30" w:after="72" w:afterLines="30" w:line="288" w:lineRule="auto"/>
        <w:jc w:val="both"/>
        <w:rPr>
          <w:rFonts w:hint="eastAsia" w:eastAsia="Times New Roman"/>
          <w:sz w:val="20"/>
          <w:szCs w:val="20"/>
          <w:lang w:val="en-GB"/>
        </w:rPr>
      </w:pPr>
      <w:r>
        <w:rPr>
          <w:rFonts w:hint="eastAsia" w:eastAsia="Times New Roman"/>
          <w:sz w:val="20"/>
          <w:szCs w:val="20"/>
          <w:lang w:val="en-GB"/>
        </w:rPr>
        <w:t>The following proposal was proposed in RAN1#1</w:t>
      </w:r>
      <w:r>
        <w:rPr>
          <w:rFonts w:hint="eastAsia"/>
          <w:sz w:val="20"/>
          <w:szCs w:val="20"/>
          <w:lang w:val="en-US" w:eastAsia="zh-CN"/>
        </w:rPr>
        <w:t>10</w:t>
      </w:r>
      <w:r>
        <w:rPr>
          <w:rFonts w:hint="eastAsia" w:eastAsia="Times New Roman"/>
          <w:sz w:val="20"/>
          <w:szCs w:val="20"/>
          <w:lang w:val="en-GB"/>
        </w:rPr>
        <w:t xml:space="preserve">, which presented a list of detailed output alternatives for further study.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2" w:type="dxa"/>
          </w:tcPr>
          <w:p>
            <w:pPr>
              <w:keepNext w:val="0"/>
              <w:keepLines w:val="0"/>
              <w:pageBreakBefore w:val="0"/>
              <w:widowControl w:val="0"/>
              <w:kinsoku/>
              <w:wordWrap/>
              <w:overflowPunct/>
              <w:topLinePunct w:val="0"/>
              <w:autoSpaceDE w:val="0"/>
              <w:autoSpaceDN w:val="0"/>
              <w:bidi w:val="0"/>
              <w:adjustRightInd w:val="0"/>
              <w:snapToGrid w:val="0"/>
              <w:spacing w:before="95" w:beforeLines="30" w:after="95" w:afterLines="30" w:line="24" w:lineRule="atLeast"/>
              <w:jc w:val="both"/>
              <w:textAlignment w:val="auto"/>
              <w:rPr>
                <w:rFonts w:hint="default" w:ascii="Times New Roman" w:hAnsi="Times New Roman" w:eastAsia="宋体" w:cs="Times New Roman"/>
                <w:b w:val="0"/>
                <w:bCs/>
                <w:i w:val="0"/>
                <w:iCs/>
                <w:color w:val="auto"/>
                <w:sz w:val="20"/>
                <w:szCs w:val="20"/>
              </w:rPr>
            </w:pPr>
            <w:r>
              <w:rPr>
                <w:rFonts w:hint="default" w:ascii="Times New Roman" w:hAnsi="Times New Roman" w:eastAsia="宋体" w:cs="Times New Roman"/>
                <w:b w:val="0"/>
                <w:bCs/>
                <w:i w:val="0"/>
                <w:iCs/>
                <w:color w:val="auto"/>
                <w:sz w:val="20"/>
                <w:szCs w:val="20"/>
              </w:rPr>
              <w:t>Regarding the sub use case BM-Case1 and B</w:t>
            </w:r>
            <w:r>
              <w:rPr>
                <w:rFonts w:hint="default" w:ascii="Times New Roman" w:hAnsi="Times New Roman" w:cs="Times New Roman"/>
                <w:b w:val="0"/>
                <w:bCs/>
                <w:i w:val="0"/>
                <w:iCs/>
                <w:color w:val="auto"/>
                <w:sz w:val="20"/>
                <w:szCs w:val="20"/>
              </w:rPr>
              <w:t>M-Case2</w:t>
            </w:r>
            <w:r>
              <w:rPr>
                <w:rFonts w:hint="default" w:ascii="Times New Roman" w:hAnsi="Times New Roman" w:eastAsia="宋体" w:cs="Times New Roman"/>
                <w:b w:val="0"/>
                <w:bCs/>
                <w:i w:val="0"/>
                <w:iCs/>
                <w:color w:val="auto"/>
                <w:sz w:val="20"/>
                <w:szCs w:val="20"/>
              </w:rPr>
              <w:t>, study the following alternatives for AI/ML output:</w:t>
            </w:r>
          </w:p>
          <w:p>
            <w:pPr>
              <w:keepNext w:val="0"/>
              <w:keepLines w:val="0"/>
              <w:pageBreakBefore w:val="0"/>
              <w:widowControl w:val="0"/>
              <w:numPr>
                <w:ilvl w:val="0"/>
                <w:numId w:val="9"/>
              </w:numPr>
              <w:kinsoku/>
              <w:wordWrap/>
              <w:overflowPunct/>
              <w:topLinePunct w:val="0"/>
              <w:autoSpaceDE w:val="0"/>
              <w:autoSpaceDN w:val="0"/>
              <w:bidi w:val="0"/>
              <w:adjustRightInd w:val="0"/>
              <w:snapToGrid w:val="0"/>
              <w:spacing w:before="95" w:beforeLines="30" w:after="95" w:afterLines="30" w:line="24" w:lineRule="atLeast"/>
              <w:jc w:val="both"/>
              <w:textAlignment w:val="auto"/>
              <w:rPr>
                <w:rFonts w:hint="default" w:ascii="Times New Roman" w:hAnsi="Times New Roman" w:eastAsia="宋体" w:cs="Times New Roman"/>
                <w:b w:val="0"/>
                <w:bCs/>
                <w:i w:val="0"/>
                <w:iCs/>
                <w:color w:val="auto"/>
                <w:sz w:val="20"/>
                <w:szCs w:val="20"/>
              </w:rPr>
            </w:pPr>
            <w:r>
              <w:rPr>
                <w:rFonts w:hint="default" w:ascii="Times New Roman" w:hAnsi="Times New Roman" w:cs="Times New Roman"/>
                <w:b w:val="0"/>
                <w:bCs/>
                <w:i w:val="0"/>
                <w:iCs/>
                <w:color w:val="auto"/>
                <w:sz w:val="20"/>
                <w:szCs w:val="20"/>
              </w:rPr>
              <w:t xml:space="preserve">Alt.1: Tx and/or Rx Beam ID(s) and/or the predicted L1-RSRP of the N predicted DL Tx and/or Rx beams </w:t>
            </w:r>
          </w:p>
          <w:p>
            <w:pPr>
              <w:keepNext w:val="0"/>
              <w:keepLines w:val="0"/>
              <w:pageBreakBefore w:val="0"/>
              <w:widowControl w:val="0"/>
              <w:numPr>
                <w:ilvl w:val="1"/>
                <w:numId w:val="9"/>
              </w:numPr>
              <w:kinsoku/>
              <w:wordWrap/>
              <w:overflowPunct/>
              <w:topLinePunct w:val="0"/>
              <w:autoSpaceDE w:val="0"/>
              <w:autoSpaceDN w:val="0"/>
              <w:bidi w:val="0"/>
              <w:adjustRightInd w:val="0"/>
              <w:snapToGrid w:val="0"/>
              <w:spacing w:before="95" w:beforeLines="30" w:after="95" w:afterLines="30" w:line="24" w:lineRule="atLeast"/>
              <w:jc w:val="both"/>
              <w:textAlignment w:val="auto"/>
              <w:rPr>
                <w:rFonts w:hint="default" w:ascii="Times New Roman" w:hAnsi="Times New Roman" w:eastAsia="宋体" w:cs="Times New Roman"/>
                <w:b w:val="0"/>
                <w:bCs/>
                <w:i w:val="0"/>
                <w:iCs/>
                <w:color w:val="auto"/>
                <w:sz w:val="20"/>
                <w:szCs w:val="20"/>
              </w:rPr>
            </w:pPr>
            <w:r>
              <w:rPr>
                <w:rFonts w:hint="default" w:ascii="Times New Roman" w:hAnsi="Times New Roman" w:eastAsia="宋体" w:cs="Times New Roman"/>
                <w:b w:val="0"/>
                <w:bCs/>
                <w:i w:val="0"/>
                <w:iCs/>
                <w:color w:val="auto"/>
                <w:sz w:val="20"/>
                <w:szCs w:val="20"/>
              </w:rPr>
              <w:t>E.g., N predicted beams can be the top-N predicted beams</w:t>
            </w:r>
          </w:p>
          <w:p>
            <w:pPr>
              <w:keepNext w:val="0"/>
              <w:keepLines w:val="0"/>
              <w:pageBreakBefore w:val="0"/>
              <w:widowControl w:val="0"/>
              <w:numPr>
                <w:ilvl w:val="0"/>
                <w:numId w:val="9"/>
              </w:numPr>
              <w:kinsoku/>
              <w:wordWrap/>
              <w:overflowPunct/>
              <w:topLinePunct w:val="0"/>
              <w:autoSpaceDE w:val="0"/>
              <w:autoSpaceDN w:val="0"/>
              <w:bidi w:val="0"/>
              <w:adjustRightInd w:val="0"/>
              <w:snapToGrid w:val="0"/>
              <w:spacing w:before="95" w:beforeLines="30" w:after="95" w:afterLines="30" w:line="24" w:lineRule="atLeast"/>
              <w:jc w:val="both"/>
              <w:textAlignment w:val="auto"/>
              <w:rPr>
                <w:rFonts w:hint="default" w:ascii="Times New Roman" w:hAnsi="Times New Roman" w:eastAsia="宋体" w:cs="Times New Roman"/>
                <w:b w:val="0"/>
                <w:bCs/>
                <w:i w:val="0"/>
                <w:iCs/>
                <w:color w:val="auto"/>
                <w:sz w:val="20"/>
                <w:szCs w:val="20"/>
              </w:rPr>
            </w:pPr>
            <w:r>
              <w:rPr>
                <w:rFonts w:hint="default" w:ascii="Times New Roman" w:hAnsi="Times New Roman" w:cs="Times New Roman"/>
                <w:b w:val="0"/>
                <w:bCs/>
                <w:i w:val="0"/>
                <w:iCs/>
                <w:color w:val="auto"/>
                <w:sz w:val="20"/>
                <w:szCs w:val="20"/>
              </w:rPr>
              <w:t>Alt.2: Tx and/or Rx Beam ID(s) of the N predicted DL Tx and/or Rx beams and other information</w:t>
            </w:r>
          </w:p>
          <w:p>
            <w:pPr>
              <w:keepNext w:val="0"/>
              <w:keepLines w:val="0"/>
              <w:pageBreakBefore w:val="0"/>
              <w:widowControl w:val="0"/>
              <w:numPr>
                <w:ilvl w:val="1"/>
                <w:numId w:val="9"/>
              </w:numPr>
              <w:kinsoku/>
              <w:wordWrap/>
              <w:overflowPunct/>
              <w:topLinePunct w:val="0"/>
              <w:autoSpaceDE w:val="0"/>
              <w:autoSpaceDN w:val="0"/>
              <w:bidi w:val="0"/>
              <w:adjustRightInd w:val="0"/>
              <w:snapToGrid w:val="0"/>
              <w:spacing w:before="95" w:beforeLines="30" w:after="95" w:afterLines="30" w:line="24" w:lineRule="atLeast"/>
              <w:jc w:val="both"/>
              <w:textAlignment w:val="auto"/>
              <w:rPr>
                <w:rFonts w:hint="default" w:ascii="Times New Roman" w:hAnsi="Times New Roman" w:eastAsia="宋体" w:cs="Times New Roman"/>
                <w:b w:val="0"/>
                <w:bCs/>
                <w:i w:val="0"/>
                <w:iCs/>
                <w:color w:val="auto"/>
                <w:sz w:val="20"/>
                <w:szCs w:val="20"/>
              </w:rPr>
            </w:pPr>
            <w:r>
              <w:rPr>
                <w:rFonts w:hint="default" w:ascii="Times New Roman" w:hAnsi="Times New Roman" w:eastAsia="宋体" w:cs="Times New Roman"/>
                <w:b w:val="0"/>
                <w:bCs/>
                <w:i w:val="0"/>
                <w:iCs/>
                <w:color w:val="auto"/>
                <w:sz w:val="20"/>
                <w:szCs w:val="20"/>
              </w:rPr>
              <w:t xml:space="preserve">FFS: other information (e.g., probability for the beam to be the best beam, </w:t>
            </w:r>
            <w:r>
              <w:rPr>
                <w:rFonts w:hint="default" w:ascii="Times New Roman" w:hAnsi="Times New Roman" w:cs="Times New Roman"/>
                <w:b w:val="0"/>
                <w:bCs/>
                <w:i w:val="0"/>
                <w:iCs/>
                <w:color w:val="auto"/>
                <w:sz w:val="20"/>
                <w:szCs w:val="20"/>
              </w:rPr>
              <w:t xml:space="preserve">the associated confidence, beam application time/dwelling time, Predicted Beam failure) </w:t>
            </w:r>
          </w:p>
          <w:p>
            <w:pPr>
              <w:keepNext w:val="0"/>
              <w:keepLines w:val="0"/>
              <w:pageBreakBefore w:val="0"/>
              <w:widowControl w:val="0"/>
              <w:numPr>
                <w:ilvl w:val="1"/>
                <w:numId w:val="9"/>
              </w:numPr>
              <w:kinsoku/>
              <w:wordWrap/>
              <w:overflowPunct/>
              <w:topLinePunct w:val="0"/>
              <w:autoSpaceDE w:val="0"/>
              <w:autoSpaceDN w:val="0"/>
              <w:bidi w:val="0"/>
              <w:adjustRightInd w:val="0"/>
              <w:snapToGrid w:val="0"/>
              <w:spacing w:before="95" w:beforeLines="30" w:after="95" w:afterLines="30" w:line="24" w:lineRule="atLeast"/>
              <w:jc w:val="both"/>
              <w:textAlignment w:val="auto"/>
              <w:rPr>
                <w:rFonts w:hint="default" w:ascii="Times New Roman" w:hAnsi="Times New Roman" w:eastAsia="宋体" w:cs="Times New Roman"/>
                <w:b w:val="0"/>
                <w:bCs/>
                <w:i w:val="0"/>
                <w:iCs/>
                <w:color w:val="auto"/>
                <w:sz w:val="20"/>
                <w:szCs w:val="20"/>
              </w:rPr>
            </w:pPr>
            <w:r>
              <w:rPr>
                <w:rFonts w:hint="default" w:ascii="Times New Roman" w:hAnsi="Times New Roman" w:eastAsia="宋体" w:cs="Times New Roman"/>
                <w:b w:val="0"/>
                <w:bCs/>
                <w:i w:val="0"/>
                <w:iCs/>
                <w:color w:val="auto"/>
                <w:sz w:val="20"/>
                <w:szCs w:val="20"/>
              </w:rPr>
              <w:t>E.g., N predicted beams can be the top-N predicted beams</w:t>
            </w:r>
          </w:p>
          <w:p>
            <w:pPr>
              <w:keepNext w:val="0"/>
              <w:keepLines w:val="0"/>
              <w:pageBreakBefore w:val="0"/>
              <w:widowControl w:val="0"/>
              <w:numPr>
                <w:ilvl w:val="0"/>
                <w:numId w:val="9"/>
              </w:numPr>
              <w:kinsoku/>
              <w:wordWrap/>
              <w:overflowPunct/>
              <w:topLinePunct w:val="0"/>
              <w:autoSpaceDE w:val="0"/>
              <w:autoSpaceDN w:val="0"/>
              <w:bidi w:val="0"/>
              <w:adjustRightInd w:val="0"/>
              <w:snapToGrid w:val="0"/>
              <w:spacing w:before="95" w:beforeLines="30" w:after="95" w:afterLines="30" w:line="24" w:lineRule="atLeast"/>
              <w:jc w:val="both"/>
              <w:textAlignment w:val="auto"/>
              <w:rPr>
                <w:rFonts w:hint="default" w:ascii="Times New Roman" w:hAnsi="Times New Roman" w:eastAsia="宋体" w:cs="Times New Roman"/>
                <w:b w:val="0"/>
                <w:bCs/>
                <w:i w:val="0"/>
                <w:iCs/>
                <w:color w:val="auto"/>
                <w:sz w:val="20"/>
                <w:szCs w:val="20"/>
              </w:rPr>
            </w:pPr>
            <w:r>
              <w:rPr>
                <w:rFonts w:hint="default" w:ascii="Times New Roman" w:hAnsi="Times New Roman" w:eastAsia="宋体" w:cs="Times New Roman"/>
                <w:b w:val="0"/>
                <w:bCs/>
                <w:i w:val="0"/>
                <w:iCs/>
                <w:color w:val="auto"/>
                <w:sz w:val="20"/>
                <w:szCs w:val="20"/>
              </w:rPr>
              <w:t xml:space="preserve">Alt.3: </w:t>
            </w:r>
            <w:r>
              <w:rPr>
                <w:rFonts w:hint="default" w:ascii="Times New Roman" w:hAnsi="Times New Roman" w:cs="Times New Roman"/>
                <w:b w:val="0"/>
                <w:bCs/>
                <w:i w:val="0"/>
                <w:iCs/>
                <w:color w:val="auto"/>
                <w:sz w:val="20"/>
                <w:szCs w:val="20"/>
              </w:rPr>
              <w:t xml:space="preserve">Tx and/or Rx Beam angle(s) </w:t>
            </w:r>
            <w:r>
              <w:rPr>
                <w:rFonts w:hint="default" w:ascii="Times New Roman" w:hAnsi="Times New Roman" w:eastAsia="宋体" w:cs="Times New Roman"/>
                <w:b w:val="0"/>
                <w:bCs/>
                <w:i w:val="0"/>
                <w:iCs/>
                <w:color w:val="auto"/>
                <w:sz w:val="20"/>
                <w:szCs w:val="20"/>
              </w:rPr>
              <w:t xml:space="preserve">and/or the predicted L1-RSRP </w:t>
            </w:r>
            <w:r>
              <w:rPr>
                <w:rFonts w:hint="default" w:ascii="Times New Roman" w:hAnsi="Times New Roman" w:cs="Times New Roman"/>
                <w:b w:val="0"/>
                <w:bCs/>
                <w:i w:val="0"/>
                <w:iCs/>
                <w:color w:val="auto"/>
                <w:sz w:val="20"/>
                <w:szCs w:val="20"/>
              </w:rPr>
              <w:t>of the N predicted DL Tx and/or Rx beams</w:t>
            </w:r>
          </w:p>
          <w:p>
            <w:pPr>
              <w:keepNext w:val="0"/>
              <w:keepLines w:val="0"/>
              <w:pageBreakBefore w:val="0"/>
              <w:widowControl w:val="0"/>
              <w:numPr>
                <w:ilvl w:val="1"/>
                <w:numId w:val="9"/>
              </w:numPr>
              <w:kinsoku/>
              <w:wordWrap/>
              <w:overflowPunct/>
              <w:topLinePunct w:val="0"/>
              <w:autoSpaceDE w:val="0"/>
              <w:autoSpaceDN w:val="0"/>
              <w:bidi w:val="0"/>
              <w:adjustRightInd w:val="0"/>
              <w:snapToGrid w:val="0"/>
              <w:spacing w:before="95" w:beforeLines="30" w:after="95" w:afterLines="30" w:line="24" w:lineRule="atLeast"/>
              <w:jc w:val="both"/>
              <w:textAlignment w:val="auto"/>
              <w:rPr>
                <w:rFonts w:hint="default" w:ascii="Times New Roman" w:hAnsi="Times New Roman" w:eastAsia="宋体" w:cs="Times New Roman"/>
                <w:b w:val="0"/>
                <w:bCs/>
                <w:i w:val="0"/>
                <w:iCs/>
                <w:color w:val="auto"/>
                <w:sz w:val="20"/>
                <w:szCs w:val="20"/>
              </w:rPr>
            </w:pPr>
            <w:r>
              <w:rPr>
                <w:rFonts w:hint="default" w:ascii="Times New Roman" w:hAnsi="Times New Roman" w:eastAsia="宋体" w:cs="Times New Roman"/>
                <w:b w:val="0"/>
                <w:bCs/>
                <w:i w:val="0"/>
                <w:iCs/>
                <w:color w:val="auto"/>
                <w:sz w:val="20"/>
                <w:szCs w:val="20"/>
              </w:rPr>
              <w:t>E.g., N predicted beams can be the top-N predicted beams</w:t>
            </w:r>
          </w:p>
          <w:p>
            <w:pPr>
              <w:keepNext w:val="0"/>
              <w:keepLines w:val="0"/>
              <w:pageBreakBefore w:val="0"/>
              <w:widowControl w:val="0"/>
              <w:numPr>
                <w:ilvl w:val="1"/>
                <w:numId w:val="9"/>
              </w:numPr>
              <w:kinsoku/>
              <w:wordWrap/>
              <w:overflowPunct/>
              <w:topLinePunct w:val="0"/>
              <w:autoSpaceDE w:val="0"/>
              <w:autoSpaceDN w:val="0"/>
              <w:bidi w:val="0"/>
              <w:adjustRightInd w:val="0"/>
              <w:snapToGrid w:val="0"/>
              <w:spacing w:before="95" w:beforeLines="30" w:after="95" w:afterLines="30" w:line="24" w:lineRule="atLeast"/>
              <w:jc w:val="both"/>
              <w:textAlignment w:val="auto"/>
              <w:rPr>
                <w:rFonts w:hint="default" w:ascii="Times New Roman" w:hAnsi="Times New Roman" w:eastAsia="宋体" w:cs="Times New Roman"/>
                <w:b w:val="0"/>
                <w:bCs/>
                <w:i w:val="0"/>
                <w:iCs/>
                <w:color w:val="auto"/>
                <w:sz w:val="20"/>
                <w:szCs w:val="20"/>
              </w:rPr>
            </w:pPr>
            <w:r>
              <w:rPr>
                <w:rFonts w:hint="default" w:ascii="Times New Roman" w:hAnsi="Times New Roman" w:eastAsia="宋体" w:cs="Times New Roman"/>
                <w:b w:val="0"/>
                <w:bCs/>
                <w:i w:val="0"/>
                <w:iCs/>
                <w:color w:val="auto"/>
                <w:sz w:val="20"/>
                <w:szCs w:val="20"/>
                <w:lang w:eastAsia="zh-CN"/>
              </w:rPr>
              <w:t>FFS: details of Beam angle(s)</w:t>
            </w:r>
          </w:p>
          <w:p>
            <w:pPr>
              <w:keepNext w:val="0"/>
              <w:keepLines w:val="0"/>
              <w:pageBreakBefore w:val="0"/>
              <w:widowControl w:val="0"/>
              <w:numPr>
                <w:ilvl w:val="0"/>
                <w:numId w:val="9"/>
              </w:numPr>
              <w:kinsoku/>
              <w:wordWrap/>
              <w:overflowPunct/>
              <w:topLinePunct w:val="0"/>
              <w:autoSpaceDE w:val="0"/>
              <w:autoSpaceDN w:val="0"/>
              <w:bidi w:val="0"/>
              <w:adjustRightInd w:val="0"/>
              <w:snapToGrid w:val="0"/>
              <w:spacing w:before="95" w:beforeLines="30" w:after="95" w:afterLines="30" w:line="24" w:lineRule="atLeast"/>
              <w:jc w:val="both"/>
              <w:textAlignment w:val="auto"/>
              <w:rPr>
                <w:rFonts w:hint="default" w:ascii="Times New Roman" w:hAnsi="Times New Roman" w:eastAsia="宋体" w:cs="Times New Roman"/>
                <w:b w:val="0"/>
                <w:bCs/>
                <w:i w:val="0"/>
                <w:iCs/>
                <w:color w:val="auto"/>
                <w:sz w:val="20"/>
                <w:szCs w:val="20"/>
              </w:rPr>
            </w:pPr>
            <w:r>
              <w:rPr>
                <w:rFonts w:hint="default" w:ascii="Times New Roman" w:hAnsi="Times New Roman" w:eastAsia="宋体" w:cs="Times New Roman"/>
                <w:b w:val="0"/>
                <w:bCs/>
                <w:i w:val="0"/>
                <w:iCs/>
                <w:color w:val="auto"/>
                <w:sz w:val="20"/>
                <w:szCs w:val="20"/>
              </w:rPr>
              <w:t>FFS: how to select the N DL Tx and/or Rx beams (e.g., L1-RSRP higher than a threshold,</w:t>
            </w:r>
            <w:r>
              <w:rPr>
                <w:rFonts w:hint="default" w:ascii="Times New Roman" w:hAnsi="Times New Roman" w:cs="Times New Roman"/>
                <w:b w:val="0"/>
                <w:bCs/>
                <w:i w:val="0"/>
                <w:iCs/>
                <w:color w:val="auto"/>
                <w:sz w:val="20"/>
                <w:szCs w:val="20"/>
                <w:lang w:eastAsia="ja-JP"/>
              </w:rPr>
              <w:t xml:space="preserve"> a sum probability of being the best beams higher than a threshold, </w:t>
            </w:r>
            <w:r>
              <w:rPr>
                <w:rFonts w:hint="default" w:ascii="Times New Roman" w:hAnsi="Times New Roman" w:eastAsia="宋体" w:cs="Times New Roman"/>
                <w:b w:val="0"/>
                <w:bCs/>
                <w:i w:val="0"/>
                <w:iCs/>
                <w:color w:val="auto"/>
                <w:sz w:val="20"/>
                <w:szCs w:val="20"/>
                <w:lang w:eastAsia="zh-CN"/>
              </w:rPr>
              <w:t xml:space="preserve">RSRP corresponding to the expected </w:t>
            </w:r>
            <w:r>
              <w:rPr>
                <w:rFonts w:hint="default" w:ascii="Times New Roman" w:hAnsi="Times New Roman" w:cs="Times New Roman"/>
                <w:b w:val="0"/>
                <w:bCs/>
                <w:i w:val="0"/>
                <w:iCs/>
                <w:color w:val="auto"/>
                <w:sz w:val="20"/>
                <w:szCs w:val="20"/>
              </w:rPr>
              <w:t>Tx and/or Rx</w:t>
            </w:r>
            <w:r>
              <w:rPr>
                <w:rFonts w:hint="default" w:ascii="Times New Roman" w:hAnsi="Times New Roman" w:eastAsia="宋体" w:cs="Times New Roman"/>
                <w:b w:val="0"/>
                <w:bCs/>
                <w:i w:val="0"/>
                <w:iCs/>
                <w:color w:val="auto"/>
                <w:sz w:val="20"/>
                <w:szCs w:val="20"/>
                <w:lang w:eastAsia="zh-CN"/>
              </w:rPr>
              <w:t xml:space="preserve"> beam direction(s)</w:t>
            </w:r>
            <w:r>
              <w:rPr>
                <w:rFonts w:hint="default" w:ascii="Times New Roman" w:hAnsi="Times New Roman" w:cs="Times New Roman"/>
                <w:b w:val="0"/>
                <w:bCs/>
                <w:i w:val="0"/>
                <w:iCs/>
                <w:color w:val="auto"/>
                <w:sz w:val="20"/>
                <w:szCs w:val="20"/>
                <w:lang w:eastAsia="ja-JP"/>
              </w:rPr>
              <w:t>)</w:t>
            </w:r>
          </w:p>
          <w:p>
            <w:pPr>
              <w:keepNext w:val="0"/>
              <w:keepLines w:val="0"/>
              <w:pageBreakBefore w:val="0"/>
              <w:widowControl w:val="0"/>
              <w:numPr>
                <w:ilvl w:val="0"/>
                <w:numId w:val="9"/>
              </w:numPr>
              <w:kinsoku/>
              <w:wordWrap/>
              <w:overflowPunct/>
              <w:topLinePunct w:val="0"/>
              <w:autoSpaceDE w:val="0"/>
              <w:autoSpaceDN w:val="0"/>
              <w:bidi w:val="0"/>
              <w:adjustRightInd w:val="0"/>
              <w:snapToGrid w:val="0"/>
              <w:spacing w:before="95" w:beforeLines="30" w:after="95" w:afterLines="30" w:line="24" w:lineRule="atLeast"/>
              <w:jc w:val="both"/>
              <w:textAlignment w:val="auto"/>
              <w:rPr>
                <w:rFonts w:hint="default" w:ascii="Times New Roman" w:hAnsi="Times New Roman" w:eastAsia="宋体" w:cs="Times New Roman"/>
                <w:b w:val="0"/>
                <w:bCs/>
                <w:i w:val="0"/>
                <w:iCs/>
                <w:color w:val="auto"/>
                <w:sz w:val="20"/>
                <w:szCs w:val="20"/>
              </w:rPr>
            </w:pPr>
            <w:r>
              <w:rPr>
                <w:rFonts w:hint="default" w:ascii="Times New Roman" w:hAnsi="Times New Roman" w:eastAsia="宋体" w:cs="Times New Roman"/>
                <w:b w:val="0"/>
                <w:bCs/>
                <w:i w:val="0"/>
                <w:iCs/>
                <w:color w:val="auto"/>
                <w:sz w:val="20"/>
                <w:szCs w:val="20"/>
              </w:rPr>
              <w:t xml:space="preserve">Note1: It is up to companies to provide other alternative(s) </w:t>
            </w:r>
          </w:p>
          <w:p>
            <w:pPr>
              <w:keepNext w:val="0"/>
              <w:keepLines w:val="0"/>
              <w:pageBreakBefore w:val="0"/>
              <w:widowControl w:val="0"/>
              <w:numPr>
                <w:ilvl w:val="0"/>
                <w:numId w:val="9"/>
              </w:numPr>
              <w:kinsoku/>
              <w:wordWrap/>
              <w:overflowPunct/>
              <w:topLinePunct w:val="0"/>
              <w:autoSpaceDE w:val="0"/>
              <w:autoSpaceDN w:val="0"/>
              <w:bidi w:val="0"/>
              <w:adjustRightInd w:val="0"/>
              <w:snapToGrid w:val="0"/>
              <w:spacing w:before="95" w:beforeLines="30" w:after="95" w:afterLines="30" w:line="24" w:lineRule="atLeast"/>
              <w:jc w:val="both"/>
              <w:textAlignment w:val="auto"/>
              <w:rPr>
                <w:rFonts w:hint="default" w:ascii="Times New Roman" w:hAnsi="Times New Roman" w:eastAsia="宋体" w:cs="Times New Roman"/>
                <w:b w:val="0"/>
                <w:bCs/>
                <w:i w:val="0"/>
                <w:iCs/>
                <w:color w:val="auto"/>
                <w:sz w:val="20"/>
                <w:szCs w:val="20"/>
              </w:rPr>
            </w:pPr>
            <w:r>
              <w:rPr>
                <w:rFonts w:hint="default" w:ascii="Times New Roman" w:hAnsi="Times New Roman" w:eastAsia="宋体" w:cs="Times New Roman"/>
                <w:b w:val="0"/>
                <w:bCs/>
                <w:i w:val="0"/>
                <w:iCs/>
                <w:color w:val="auto"/>
                <w:sz w:val="20"/>
                <w:szCs w:val="20"/>
              </w:rPr>
              <w:t>Note2: Beam ID is only used for discussion purpose</w:t>
            </w:r>
          </w:p>
          <w:p>
            <w:pPr>
              <w:keepNext w:val="0"/>
              <w:keepLines w:val="0"/>
              <w:pageBreakBefore w:val="0"/>
              <w:widowControl w:val="0"/>
              <w:numPr>
                <w:ilvl w:val="0"/>
                <w:numId w:val="9"/>
              </w:numPr>
              <w:kinsoku/>
              <w:wordWrap/>
              <w:overflowPunct/>
              <w:topLinePunct w:val="0"/>
              <w:autoSpaceDE w:val="0"/>
              <w:autoSpaceDN w:val="0"/>
              <w:bidi w:val="0"/>
              <w:adjustRightInd w:val="0"/>
              <w:snapToGrid w:val="0"/>
              <w:spacing w:before="95" w:beforeLines="30" w:after="95" w:afterLines="30" w:line="24" w:lineRule="atLeast"/>
              <w:jc w:val="both"/>
              <w:textAlignment w:val="auto"/>
              <w:rPr>
                <w:rFonts w:hint="default" w:ascii="Times New Roman" w:hAnsi="Times New Roman" w:eastAsia="宋体" w:cs="Times New Roman"/>
                <w:b w:val="0"/>
                <w:bCs/>
                <w:i w:val="0"/>
                <w:iCs/>
                <w:color w:val="auto"/>
                <w:sz w:val="20"/>
                <w:szCs w:val="20"/>
              </w:rPr>
            </w:pPr>
            <w:r>
              <w:rPr>
                <w:rFonts w:hint="default" w:ascii="Times New Roman" w:hAnsi="Times New Roman" w:eastAsia="宋体" w:cs="Times New Roman"/>
                <w:b w:val="0"/>
                <w:bCs/>
                <w:i w:val="0"/>
                <w:iCs/>
                <w:color w:val="auto"/>
                <w:sz w:val="20"/>
                <w:szCs w:val="20"/>
              </w:rPr>
              <w:t>Note3: All the outputs are “nominal” and only for discussion purpose</w:t>
            </w:r>
          </w:p>
          <w:p>
            <w:pPr>
              <w:keepNext w:val="0"/>
              <w:keepLines w:val="0"/>
              <w:pageBreakBefore w:val="0"/>
              <w:widowControl w:val="0"/>
              <w:numPr>
                <w:ilvl w:val="0"/>
                <w:numId w:val="9"/>
              </w:numPr>
              <w:kinsoku/>
              <w:wordWrap/>
              <w:overflowPunct/>
              <w:topLinePunct w:val="0"/>
              <w:autoSpaceDE w:val="0"/>
              <w:autoSpaceDN w:val="0"/>
              <w:bidi w:val="0"/>
              <w:adjustRightInd w:val="0"/>
              <w:snapToGrid w:val="0"/>
              <w:spacing w:before="95" w:beforeLines="30" w:after="95" w:afterLines="30" w:line="24" w:lineRule="atLeast"/>
              <w:jc w:val="both"/>
              <w:textAlignment w:val="auto"/>
              <w:rPr>
                <w:rFonts w:hint="default" w:ascii="Times New Roman" w:hAnsi="Times New Roman" w:eastAsia="宋体" w:cs="Times New Roman"/>
                <w:b w:val="0"/>
                <w:bCs/>
                <w:i w:val="0"/>
                <w:iCs/>
                <w:color w:val="auto"/>
                <w:sz w:val="20"/>
                <w:szCs w:val="20"/>
              </w:rPr>
            </w:pPr>
            <w:r>
              <w:rPr>
                <w:rFonts w:hint="default" w:ascii="Times New Roman" w:hAnsi="Times New Roman" w:eastAsia="宋体" w:cs="Times New Roman"/>
                <w:b w:val="0"/>
                <w:bCs/>
                <w:i w:val="0"/>
                <w:iCs/>
                <w:color w:val="auto"/>
                <w:sz w:val="20"/>
                <w:szCs w:val="20"/>
              </w:rPr>
              <w:t xml:space="preserve">Note4: Values of N is up to each company. </w:t>
            </w:r>
          </w:p>
          <w:p>
            <w:pPr>
              <w:keepNext w:val="0"/>
              <w:keepLines w:val="0"/>
              <w:pageBreakBefore w:val="0"/>
              <w:widowControl w:val="0"/>
              <w:numPr>
                <w:ilvl w:val="0"/>
                <w:numId w:val="9"/>
              </w:numPr>
              <w:kinsoku/>
              <w:wordWrap/>
              <w:overflowPunct/>
              <w:topLinePunct w:val="0"/>
              <w:autoSpaceDE w:val="0"/>
              <w:autoSpaceDN w:val="0"/>
              <w:bidi w:val="0"/>
              <w:adjustRightInd w:val="0"/>
              <w:snapToGrid w:val="0"/>
              <w:spacing w:before="95" w:beforeLines="30" w:after="95" w:afterLines="30" w:line="24" w:lineRule="atLeast"/>
              <w:jc w:val="both"/>
              <w:textAlignment w:val="auto"/>
              <w:rPr>
                <w:rFonts w:hint="default" w:ascii="Times New Roman" w:hAnsi="Times New Roman" w:eastAsia="等线" w:cs="Times New Roman"/>
                <w:b w:val="0"/>
                <w:bCs/>
                <w:i w:val="0"/>
                <w:iCs/>
                <w:color w:val="auto"/>
                <w:sz w:val="20"/>
                <w:szCs w:val="20"/>
                <w:lang w:eastAsia="zh-CN"/>
              </w:rPr>
            </w:pPr>
            <w:r>
              <w:rPr>
                <w:rFonts w:hint="default" w:ascii="Times New Roman" w:hAnsi="Times New Roman" w:eastAsia="等线" w:cs="Times New Roman"/>
                <w:b w:val="0"/>
                <w:bCs/>
                <w:i w:val="0"/>
                <w:iCs/>
                <w:color w:val="auto"/>
                <w:sz w:val="20"/>
                <w:szCs w:val="20"/>
                <w:lang w:eastAsia="zh-CN"/>
              </w:rPr>
              <w:t>Note5: All of the outputs in the above alternatives may vary based on whether the AI/ML model inference is at UE side or gNB side.</w:t>
            </w:r>
          </w:p>
          <w:p>
            <w:pPr>
              <w:keepNext w:val="0"/>
              <w:keepLines w:val="0"/>
              <w:pageBreakBefore w:val="0"/>
              <w:widowControl w:val="0"/>
              <w:numPr>
                <w:ilvl w:val="0"/>
                <w:numId w:val="9"/>
              </w:numPr>
              <w:kinsoku/>
              <w:wordWrap/>
              <w:overflowPunct/>
              <w:topLinePunct w:val="0"/>
              <w:autoSpaceDE w:val="0"/>
              <w:autoSpaceDN w:val="0"/>
              <w:bidi w:val="0"/>
              <w:adjustRightInd w:val="0"/>
              <w:snapToGrid w:val="0"/>
              <w:spacing w:before="95" w:beforeLines="30" w:after="95" w:afterLines="30" w:line="24" w:lineRule="atLeast"/>
              <w:jc w:val="both"/>
              <w:textAlignment w:val="auto"/>
              <w:rPr>
                <w:rFonts w:hint="default" w:ascii="Times New Roman" w:hAnsi="Times New Roman" w:cs="Times New Roman"/>
                <w:b w:val="0"/>
                <w:bCs/>
                <w:i w:val="0"/>
                <w:iCs/>
                <w:color w:val="auto"/>
                <w:sz w:val="20"/>
                <w:szCs w:val="20"/>
                <w:vertAlign w:val="baseline"/>
              </w:rPr>
            </w:pPr>
            <w:r>
              <w:rPr>
                <w:rFonts w:hint="default" w:ascii="Times New Roman" w:hAnsi="Times New Roman" w:eastAsia="等线" w:cs="Times New Roman"/>
                <w:b w:val="0"/>
                <w:bCs/>
                <w:i w:val="0"/>
                <w:iCs/>
                <w:color w:val="auto"/>
                <w:sz w:val="20"/>
                <w:szCs w:val="20"/>
                <w:lang w:eastAsia="zh-CN"/>
              </w:rPr>
              <w:t>Note 6: The Top-N beam IDs might have been derived via post-processing of the ML-model output</w:t>
            </w:r>
          </w:p>
        </w:tc>
      </w:tr>
    </w:tbl>
    <w:p>
      <w:pPr>
        <w:snapToGrid w:val="0"/>
        <w:spacing w:before="72" w:beforeLines="30" w:after="72" w:afterLines="30" w:line="288" w:lineRule="auto"/>
        <w:jc w:val="both"/>
        <w:rPr>
          <w:rFonts w:hint="default" w:eastAsia="宋体"/>
          <w:sz w:val="20"/>
          <w:szCs w:val="20"/>
          <w:lang w:val="en-US" w:eastAsia="zh-CN"/>
        </w:rPr>
      </w:pPr>
      <w:r>
        <w:rPr>
          <w:rFonts w:hint="eastAsia" w:eastAsia="Times New Roman"/>
          <w:sz w:val="20"/>
          <w:szCs w:val="20"/>
          <w:lang w:val="en-GB"/>
        </w:rPr>
        <w:t>For beam management, the feedback information includes SSBRI/CRI and L1-RSRP</w:t>
      </w:r>
      <w:r>
        <w:rPr>
          <w:rFonts w:hint="eastAsia"/>
          <w:sz w:val="20"/>
          <w:szCs w:val="20"/>
        </w:rPr>
        <w:t xml:space="preserve"> in current specification</w:t>
      </w:r>
      <w:r>
        <w:rPr>
          <w:rFonts w:hint="eastAsia" w:eastAsia="Times New Roman"/>
          <w:sz w:val="20"/>
          <w:szCs w:val="20"/>
          <w:lang w:val="en-GB"/>
        </w:rPr>
        <w:t xml:space="preserve">, which represent the beam indicator and beam quality information, respectively. In Alt.1, only the beam ID and the predicted RSRP are considered as the AI output. Therefore, Alt.1 can provide better standard compatibility and less additional standardization effort. Moreover, if the deployed AI model can predict the beam quality information of all beams, the beam ID can be obtained implicitly from the data structure of the model output vector or matrix, thus avoiding </w:t>
      </w:r>
      <w:r>
        <w:rPr>
          <w:rFonts w:eastAsia="Times New Roman"/>
          <w:sz w:val="20"/>
          <w:szCs w:val="20"/>
          <w:lang w:val="en-GB"/>
        </w:rPr>
        <w:t xml:space="preserve">to </w:t>
      </w:r>
      <w:r>
        <w:rPr>
          <w:rFonts w:hint="eastAsia" w:eastAsia="Times New Roman"/>
          <w:sz w:val="20"/>
          <w:szCs w:val="20"/>
          <w:lang w:val="en-GB"/>
        </w:rPr>
        <w:t>explicitly defin</w:t>
      </w:r>
      <w:r>
        <w:rPr>
          <w:rFonts w:eastAsia="Times New Roman"/>
          <w:sz w:val="20"/>
          <w:szCs w:val="20"/>
          <w:lang w:val="en-GB"/>
        </w:rPr>
        <w:t>e</w:t>
      </w:r>
      <w:r>
        <w:rPr>
          <w:rFonts w:hint="eastAsia" w:eastAsia="Times New Roman"/>
          <w:sz w:val="20"/>
          <w:szCs w:val="20"/>
          <w:lang w:val="en-GB"/>
        </w:rPr>
        <w:t xml:space="preserve"> the concept of beam ID.</w:t>
      </w:r>
      <w:r>
        <w:rPr>
          <w:rFonts w:hint="eastAsia"/>
          <w:sz w:val="20"/>
          <w:szCs w:val="20"/>
          <w:lang w:val="en-US" w:eastAsia="zh-CN"/>
        </w:rPr>
        <w:t xml:space="preserve"> In Alt.2, specific definition of the other information is needed with further evaluation results being provided by the proponents. </w:t>
      </w:r>
      <w:r>
        <w:rPr>
          <w:rFonts w:hint="eastAsia" w:eastAsia="Times New Roman"/>
          <w:sz w:val="20"/>
          <w:szCs w:val="20"/>
          <w:lang w:val="en-GB"/>
        </w:rPr>
        <w:t>In Alt.3, the beam angle is included as part of the model output</w:t>
      </w:r>
      <w:r>
        <w:rPr>
          <w:rFonts w:hint="eastAsia"/>
          <w:sz w:val="20"/>
          <w:szCs w:val="20"/>
          <w:lang w:val="en-US" w:eastAsia="zh-CN"/>
        </w:rPr>
        <w:t xml:space="preserve">, which is related to the beam implementation issue and </w:t>
      </w:r>
      <w:r>
        <w:rPr>
          <w:rFonts w:hint="eastAsia" w:eastAsia="Times New Roman"/>
          <w:sz w:val="20"/>
          <w:szCs w:val="20"/>
          <w:lang w:val="en-GB"/>
        </w:rPr>
        <w:t>hard to be aligned among companies</w:t>
      </w:r>
      <w:r>
        <w:rPr>
          <w:rFonts w:hint="eastAsia"/>
          <w:sz w:val="20"/>
          <w:szCs w:val="20"/>
          <w:lang w:val="en-US" w:eastAsia="zh-CN"/>
        </w:rPr>
        <w:t xml:space="preserve">. Besides, in the current </w:t>
      </w:r>
      <w:r>
        <w:rPr>
          <w:rFonts w:hint="eastAsia"/>
          <w:sz w:val="20"/>
          <w:szCs w:val="20"/>
        </w:rPr>
        <w:t>specification</w:t>
      </w:r>
      <w:r>
        <w:rPr>
          <w:rFonts w:hint="eastAsia"/>
          <w:sz w:val="20"/>
          <w:szCs w:val="20"/>
          <w:lang w:val="en-US" w:eastAsia="zh-CN"/>
        </w:rPr>
        <w:t xml:space="preserve">, </w:t>
      </w:r>
      <w:r>
        <w:rPr>
          <w:rFonts w:hint="eastAsia" w:eastAsia="Times New Roman"/>
          <w:sz w:val="20"/>
          <w:szCs w:val="20"/>
          <w:lang w:val="en-GB"/>
        </w:rPr>
        <w:t>beam indication is performed through the configured TCI state. It is also unclear how to establish a corresponding relationship between the output beam angle and the TCI state.</w:t>
      </w:r>
    </w:p>
    <w:p>
      <w:pPr>
        <w:snapToGrid w:val="0"/>
        <w:spacing w:before="72" w:beforeLines="30" w:after="72" w:afterLines="30" w:line="288" w:lineRule="auto"/>
        <w:jc w:val="both"/>
        <w:rPr>
          <w:rFonts w:eastAsia="Times New Roman"/>
          <w:i/>
          <w:iCs/>
          <w:sz w:val="20"/>
          <w:szCs w:val="20"/>
          <w:lang w:val="en-GB"/>
        </w:rPr>
      </w:pPr>
      <w:r>
        <w:rPr>
          <w:rFonts w:eastAsia="Times New Roman"/>
          <w:b/>
          <w:bCs/>
          <w:i/>
          <w:iCs/>
          <w:sz w:val="20"/>
          <w:szCs w:val="20"/>
          <w:lang w:val="en-GB"/>
        </w:rPr>
        <w:t>Observation</w:t>
      </w:r>
      <w:r>
        <w:rPr>
          <w:rFonts w:hint="eastAsia" w:eastAsia="Times New Roman"/>
          <w:b/>
          <w:bCs/>
          <w:i/>
          <w:iCs/>
          <w:sz w:val="20"/>
          <w:szCs w:val="20"/>
          <w:lang w:val="en-GB"/>
        </w:rPr>
        <w:t xml:space="preserve"> </w:t>
      </w:r>
      <w:r>
        <w:rPr>
          <w:rFonts w:hint="eastAsia"/>
          <w:b/>
          <w:bCs/>
          <w:i/>
          <w:iCs/>
          <w:sz w:val="20"/>
          <w:szCs w:val="20"/>
          <w:lang w:val="en-US" w:eastAsia="zh-CN"/>
        </w:rPr>
        <w:t>4</w:t>
      </w:r>
      <w:r>
        <w:rPr>
          <w:rFonts w:hint="eastAsia" w:eastAsia="Times New Roman"/>
          <w:b/>
          <w:bCs/>
          <w:i/>
          <w:iCs/>
          <w:sz w:val="20"/>
          <w:szCs w:val="20"/>
          <w:lang w:val="en-GB"/>
        </w:rPr>
        <w:t xml:space="preserve">: </w:t>
      </w:r>
      <w:r>
        <w:rPr>
          <w:rFonts w:hint="eastAsia" w:eastAsia="Times New Roman"/>
          <w:i/>
          <w:iCs/>
          <w:sz w:val="20"/>
          <w:szCs w:val="20"/>
          <w:lang w:val="en-GB"/>
        </w:rPr>
        <w:t>Alt.1 can provide better standard compatibility and less additional standardization effort</w:t>
      </w:r>
      <w:r>
        <w:rPr>
          <w:rFonts w:hint="eastAsia"/>
          <w:i/>
          <w:iCs/>
          <w:sz w:val="20"/>
          <w:szCs w:val="20"/>
        </w:rPr>
        <w:t xml:space="preserve"> since </w:t>
      </w:r>
      <w:r>
        <w:rPr>
          <w:rFonts w:hint="eastAsia" w:eastAsia="Times New Roman"/>
          <w:i/>
          <w:iCs/>
          <w:sz w:val="20"/>
          <w:szCs w:val="20"/>
          <w:lang w:val="en-GB"/>
        </w:rPr>
        <w:t>only beam ID and the predicted RSRP are considered as the AI output.</w:t>
      </w:r>
    </w:p>
    <w:p>
      <w:pPr>
        <w:snapToGrid w:val="0"/>
        <w:spacing w:before="72" w:beforeLines="30" w:after="72" w:afterLines="30" w:line="288" w:lineRule="auto"/>
        <w:jc w:val="both"/>
        <w:rPr>
          <w:rFonts w:hint="eastAsia" w:eastAsia="Times New Roman"/>
          <w:i/>
          <w:iCs/>
          <w:sz w:val="20"/>
          <w:szCs w:val="20"/>
          <w:lang w:val="en-GB"/>
        </w:rPr>
      </w:pPr>
      <w:r>
        <w:rPr>
          <w:rFonts w:hint="eastAsia" w:eastAsia="Times New Roman"/>
          <w:b/>
          <w:bCs/>
          <w:i/>
          <w:iCs/>
          <w:sz w:val="20"/>
          <w:szCs w:val="20"/>
          <w:lang w:val="en-GB"/>
        </w:rPr>
        <w:t xml:space="preserve">Proposal </w:t>
      </w:r>
      <w:r>
        <w:rPr>
          <w:rFonts w:hint="eastAsia"/>
          <w:b/>
          <w:bCs/>
          <w:i/>
          <w:iCs/>
          <w:sz w:val="20"/>
          <w:szCs w:val="20"/>
          <w:lang w:val="en-US" w:eastAsia="zh-CN"/>
        </w:rPr>
        <w:t>6</w:t>
      </w:r>
      <w:r>
        <w:rPr>
          <w:rFonts w:hint="eastAsia" w:eastAsia="Times New Roman"/>
          <w:b/>
          <w:bCs/>
          <w:i/>
          <w:iCs/>
          <w:sz w:val="20"/>
          <w:szCs w:val="20"/>
          <w:lang w:val="en-GB"/>
        </w:rPr>
        <w:t>:</w:t>
      </w:r>
      <w:r>
        <w:rPr>
          <w:rFonts w:hint="eastAsia"/>
          <w:b/>
          <w:bCs/>
          <w:i/>
          <w:iCs/>
          <w:sz w:val="20"/>
          <w:szCs w:val="20"/>
          <w:lang w:val="en-US" w:eastAsia="zh-CN"/>
        </w:rPr>
        <w:t xml:space="preserve"> </w:t>
      </w:r>
      <w:r>
        <w:rPr>
          <w:rFonts w:hint="eastAsia" w:eastAsia="Times New Roman"/>
          <w:i/>
          <w:iCs/>
          <w:sz w:val="20"/>
          <w:szCs w:val="20"/>
          <w:lang w:val="en-GB"/>
        </w:rPr>
        <w:t>Focus</w:t>
      </w:r>
      <w:r>
        <w:rPr>
          <w:rFonts w:hint="eastAsia"/>
          <w:i/>
          <w:iCs/>
          <w:sz w:val="20"/>
          <w:szCs w:val="20"/>
          <w:lang w:val="en-US" w:eastAsia="zh-CN"/>
        </w:rPr>
        <w:t xml:space="preserve"> </w:t>
      </w:r>
      <w:r>
        <w:rPr>
          <w:rFonts w:hint="eastAsia" w:eastAsia="Times New Roman"/>
          <w:i/>
          <w:iCs/>
          <w:sz w:val="20"/>
          <w:szCs w:val="20"/>
          <w:lang w:val="en-GB"/>
        </w:rPr>
        <w:t>the discussion on Alt.1</w:t>
      </w:r>
      <w:r>
        <w:rPr>
          <w:rFonts w:hint="eastAsia"/>
          <w:i/>
          <w:iCs/>
          <w:sz w:val="20"/>
          <w:szCs w:val="20"/>
          <w:lang w:val="en-US" w:eastAsia="zh-CN"/>
        </w:rPr>
        <w:t xml:space="preserve"> </w:t>
      </w:r>
      <w:r>
        <w:rPr>
          <w:rFonts w:hint="eastAsia" w:eastAsia="Times New Roman"/>
          <w:i/>
          <w:iCs/>
          <w:sz w:val="20"/>
          <w:szCs w:val="20"/>
          <w:lang w:val="en-GB"/>
        </w:rPr>
        <w:t xml:space="preserve">as </w:t>
      </w:r>
      <w:r>
        <w:rPr>
          <w:rFonts w:hint="eastAsia"/>
          <w:i/>
          <w:iCs/>
          <w:sz w:val="20"/>
          <w:szCs w:val="20"/>
          <w:lang w:val="en-US" w:eastAsia="zh-CN"/>
        </w:rPr>
        <w:t xml:space="preserve">a </w:t>
      </w:r>
      <w:r>
        <w:rPr>
          <w:rFonts w:hint="eastAsia" w:eastAsia="Times New Roman"/>
          <w:i/>
          <w:iCs/>
          <w:sz w:val="20"/>
          <w:szCs w:val="20"/>
          <w:lang w:val="en-GB"/>
        </w:rPr>
        <w:t>starting point.</w:t>
      </w:r>
      <w:r>
        <w:rPr>
          <w:rFonts w:hint="eastAsia"/>
          <w:i/>
          <w:iCs/>
          <w:sz w:val="20"/>
          <w:szCs w:val="20"/>
          <w:lang w:val="en-US" w:eastAsia="zh-CN"/>
        </w:rPr>
        <w:t xml:space="preserve"> Alt.3 can be postponed until the</w:t>
      </w:r>
      <w:r>
        <w:rPr>
          <w:rFonts w:hint="eastAsia" w:eastAsia="Times New Roman"/>
          <w:i/>
          <w:iCs/>
          <w:sz w:val="20"/>
          <w:szCs w:val="20"/>
          <w:lang w:val="en-GB"/>
        </w:rPr>
        <w:t xml:space="preserve"> relationship between output beam angle and TCI state</w:t>
      </w:r>
      <w:r>
        <w:rPr>
          <w:rFonts w:hint="eastAsia"/>
          <w:i/>
          <w:iCs/>
          <w:sz w:val="20"/>
          <w:szCs w:val="20"/>
          <w:lang w:val="en-US" w:eastAsia="zh-CN"/>
        </w:rPr>
        <w:t xml:space="preserve"> is clear</w:t>
      </w:r>
      <w:r>
        <w:rPr>
          <w:rFonts w:hint="eastAsia" w:eastAsia="Times New Roman"/>
          <w:i/>
          <w:iCs/>
          <w:sz w:val="20"/>
          <w:szCs w:val="20"/>
          <w:lang w:val="en-GB"/>
        </w:rPr>
        <w:t>.</w:t>
      </w:r>
    </w:p>
    <w:p>
      <w:pPr>
        <w:snapToGrid w:val="0"/>
        <w:spacing w:before="72" w:beforeLines="30" w:after="72" w:afterLines="30" w:line="288" w:lineRule="auto"/>
        <w:jc w:val="both"/>
        <w:rPr>
          <w:rFonts w:hint="eastAsia" w:eastAsia="Times New Roman"/>
          <w:i/>
          <w:iCs/>
          <w:sz w:val="20"/>
          <w:szCs w:val="20"/>
          <w:lang w:val="en-GB"/>
        </w:rPr>
      </w:pPr>
    </w:p>
    <w:p>
      <w:pPr>
        <w:numPr>
          <w:ilvl w:val="1"/>
          <w:numId w:val="5"/>
        </w:numPr>
        <w:tabs>
          <w:tab w:val="clear" w:pos="576"/>
        </w:tabs>
        <w:snapToGrid w:val="0"/>
        <w:spacing w:before="10" w:after="120" w:afterLines="50" w:line="288" w:lineRule="auto"/>
        <w:ind w:left="567" w:hanging="567"/>
        <w:jc w:val="both"/>
        <w:outlineLvl w:val="1"/>
        <w:rPr>
          <w:b/>
          <w:sz w:val="24"/>
          <w:szCs w:val="20"/>
        </w:rPr>
      </w:pPr>
      <w:r>
        <w:rPr>
          <w:b/>
          <w:sz w:val="24"/>
          <w:szCs w:val="20"/>
        </w:rPr>
        <w:t>Temporal DL beam prediction</w:t>
      </w:r>
    </w:p>
    <w:p>
      <w:pPr>
        <w:snapToGrid w:val="0"/>
        <w:spacing w:before="72" w:beforeLines="30" w:after="72" w:afterLines="30" w:line="288" w:lineRule="auto"/>
        <w:jc w:val="both"/>
        <w:rPr>
          <w:rFonts w:eastAsia="Times New Roman"/>
          <w:sz w:val="20"/>
          <w:szCs w:val="20"/>
          <w:lang w:val="en-GB"/>
        </w:rPr>
      </w:pPr>
      <w:r>
        <w:rPr>
          <w:rFonts w:hint="eastAsia" w:eastAsia="Times New Roman"/>
          <w:sz w:val="20"/>
          <w:szCs w:val="20"/>
          <w:lang w:val="en-GB"/>
        </w:rPr>
        <w:t>Temporal DL beam prediction aims at predicting future beam quality based on historic measurement results. Just like the spatial-domain beam prediction, we will further elaborate our views on beam set construction, AI input, and AI output respectively in the following.</w:t>
      </w:r>
    </w:p>
    <w:p>
      <w:pPr>
        <w:snapToGrid w:val="0"/>
        <w:spacing w:before="72" w:beforeLines="30" w:after="72" w:afterLines="30" w:line="288" w:lineRule="auto"/>
        <w:jc w:val="both"/>
        <w:rPr>
          <w:rFonts w:eastAsia="Times New Roman"/>
          <w:b/>
          <w:bCs/>
          <w:sz w:val="20"/>
          <w:szCs w:val="20"/>
          <w:u w:val="single"/>
          <w:lang w:val="en-GB"/>
        </w:rPr>
      </w:pPr>
      <w:r>
        <w:rPr>
          <w:rFonts w:hint="eastAsia" w:eastAsia="Times New Roman"/>
          <w:b/>
          <w:bCs/>
          <w:sz w:val="20"/>
          <w:szCs w:val="20"/>
          <w:u w:val="single"/>
          <w:lang w:val="en-GB"/>
        </w:rPr>
        <w:t>Beam set constructions:</w:t>
      </w:r>
    </w:p>
    <w:p>
      <w:pPr>
        <w:snapToGrid w:val="0"/>
        <w:spacing w:before="72" w:beforeLines="30" w:after="72" w:afterLines="30" w:line="288" w:lineRule="auto"/>
        <w:jc w:val="both"/>
        <w:rPr>
          <w:rFonts w:eastAsia="Times New Roman"/>
          <w:sz w:val="20"/>
          <w:szCs w:val="20"/>
          <w:lang w:val="en-GB"/>
        </w:rPr>
      </w:pPr>
      <w:r>
        <w:rPr>
          <w:rFonts w:hint="eastAsia"/>
          <w:sz w:val="20"/>
          <w:szCs w:val="20"/>
          <w:lang w:val="en-US" w:eastAsia="zh-CN"/>
        </w:rPr>
        <w:t>In RAN1#109-e and RAN1#110</w:t>
      </w:r>
      <w:r>
        <w:rPr>
          <w:rFonts w:hint="eastAsia"/>
          <w:sz w:val="20"/>
          <w:szCs w:val="20"/>
        </w:rPr>
        <w:t>,</w:t>
      </w:r>
      <w:r>
        <w:rPr>
          <w:rFonts w:hint="eastAsia" w:eastAsia="Times New Roman"/>
          <w:sz w:val="20"/>
          <w:szCs w:val="20"/>
          <w:lang w:val="en-GB"/>
        </w:rPr>
        <w:t xml:space="preserve"> most of the companies mentioned that there was no need to define the connection between the beam set for prediction and the beam set for measurement. However, some companies thought that spatial-temporal beam prediction should not be precluded with the example of using multiple past SSB measurement information to predict best CSI-RS ID, as an illustrative use case. Therefore, the following </w:t>
      </w:r>
      <w:r>
        <w:rPr>
          <w:rFonts w:hint="eastAsia"/>
          <w:sz w:val="20"/>
          <w:szCs w:val="20"/>
          <w:lang w:val="en-US" w:eastAsia="zh-CN"/>
        </w:rPr>
        <w:t xml:space="preserve">agreement </w:t>
      </w:r>
      <w:r>
        <w:rPr>
          <w:rFonts w:hint="eastAsia" w:eastAsia="Times New Roman"/>
          <w:sz w:val="20"/>
          <w:szCs w:val="20"/>
          <w:lang w:val="en-GB"/>
        </w:rPr>
        <w:t xml:space="preserve">was obtained </w:t>
      </w:r>
      <w:r>
        <w:rPr>
          <w:rFonts w:hint="eastAsia"/>
          <w:sz w:val="20"/>
          <w:szCs w:val="20"/>
          <w:lang w:val="en-US" w:eastAsia="zh-CN"/>
        </w:rPr>
        <w:t xml:space="preserve">in RAN1#110 </w:t>
      </w:r>
      <w:r>
        <w:rPr>
          <w:rFonts w:hint="eastAsia" w:eastAsia="Times New Roman"/>
          <w:sz w:val="20"/>
          <w:szCs w:val="20"/>
          <w:lang w:val="en-GB"/>
        </w:rPr>
        <w:t xml:space="preserve">for further study. </w:t>
      </w:r>
    </w:p>
    <w:tbl>
      <w:tblPr>
        <w:tblStyle w:val="24"/>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val="0"/>
              <w:kinsoku/>
              <w:wordWrap/>
              <w:topLinePunct w:val="0"/>
              <w:bidi w:val="0"/>
              <w:snapToGrid w:val="0"/>
              <w:spacing w:before="95" w:beforeLines="30" w:after="95" w:afterLines="30" w:line="288" w:lineRule="auto"/>
              <w:rPr>
                <w:rFonts w:hint="default" w:ascii="Times New Roman" w:hAnsi="Times New Roman" w:cs="Times New Roman"/>
                <w:b w:val="0"/>
                <w:bCs/>
                <w:i w:val="0"/>
                <w:iCs/>
                <w:color w:val="auto"/>
                <w:sz w:val="20"/>
                <w:szCs w:val="20"/>
              </w:rPr>
            </w:pPr>
            <w:r>
              <w:rPr>
                <w:rFonts w:hint="default" w:ascii="Times New Roman" w:hAnsi="Times New Roman" w:cs="Times New Roman"/>
                <w:b w:val="0"/>
                <w:bCs/>
                <w:i w:val="0"/>
                <w:iCs/>
                <w:color w:val="auto"/>
                <w:sz w:val="20"/>
                <w:szCs w:val="20"/>
              </w:rPr>
              <w:t>For the sub use case BM-Case2, further study the following alternatives:</w:t>
            </w:r>
          </w:p>
          <w:p>
            <w:pPr>
              <w:keepNext w:val="0"/>
              <w:keepLines w:val="0"/>
              <w:pageBreakBefore w:val="0"/>
              <w:widowControl w:val="0"/>
              <w:numPr>
                <w:ilvl w:val="0"/>
                <w:numId w:val="8"/>
              </w:numPr>
              <w:kinsoku/>
              <w:wordWrap/>
              <w:overflowPunct w:val="0"/>
              <w:topLinePunct w:val="0"/>
              <w:autoSpaceDE w:val="0"/>
              <w:autoSpaceDN w:val="0"/>
              <w:bidi w:val="0"/>
              <w:adjustRightInd w:val="0"/>
              <w:snapToGrid w:val="0"/>
              <w:spacing w:before="95" w:beforeLines="30" w:after="95" w:afterLines="30" w:line="288" w:lineRule="auto"/>
              <w:contextualSpacing/>
              <w:textAlignment w:val="baseline"/>
              <w:rPr>
                <w:rFonts w:hint="default" w:ascii="Times New Roman" w:hAnsi="Times New Roman" w:eastAsia="宋体" w:cs="Times New Roman"/>
                <w:b w:val="0"/>
                <w:bCs/>
                <w:i w:val="0"/>
                <w:iCs/>
                <w:color w:val="auto"/>
                <w:sz w:val="20"/>
                <w:szCs w:val="20"/>
                <w:lang w:eastAsia="ja-JP"/>
              </w:rPr>
            </w:pPr>
            <w:r>
              <w:rPr>
                <w:rFonts w:hint="default" w:ascii="Times New Roman" w:hAnsi="Times New Roman" w:eastAsia="宋体" w:cs="Times New Roman"/>
                <w:b w:val="0"/>
                <w:bCs/>
                <w:i w:val="0"/>
                <w:iCs/>
                <w:color w:val="auto"/>
                <w:sz w:val="20"/>
                <w:szCs w:val="20"/>
                <w:lang w:eastAsia="ja-JP"/>
              </w:rPr>
              <w:t>Alt.1: Set A and Set B are different (Set B is NOT a subset of Set A)</w:t>
            </w:r>
          </w:p>
          <w:p>
            <w:pPr>
              <w:keepNext w:val="0"/>
              <w:keepLines w:val="0"/>
              <w:pageBreakBefore w:val="0"/>
              <w:widowControl w:val="0"/>
              <w:numPr>
                <w:ilvl w:val="0"/>
                <w:numId w:val="8"/>
              </w:numPr>
              <w:kinsoku/>
              <w:wordWrap/>
              <w:overflowPunct w:val="0"/>
              <w:topLinePunct w:val="0"/>
              <w:autoSpaceDE w:val="0"/>
              <w:autoSpaceDN w:val="0"/>
              <w:bidi w:val="0"/>
              <w:adjustRightInd w:val="0"/>
              <w:snapToGrid w:val="0"/>
              <w:spacing w:before="95" w:beforeLines="30" w:after="95" w:afterLines="30" w:line="288" w:lineRule="auto"/>
              <w:contextualSpacing/>
              <w:textAlignment w:val="baseline"/>
              <w:rPr>
                <w:rFonts w:hint="default" w:ascii="Times New Roman" w:hAnsi="Times New Roman" w:eastAsia="宋体" w:cs="Times New Roman"/>
                <w:b w:val="0"/>
                <w:bCs/>
                <w:i w:val="0"/>
                <w:iCs/>
                <w:color w:val="auto"/>
                <w:sz w:val="20"/>
                <w:szCs w:val="20"/>
                <w:lang w:eastAsia="ja-JP"/>
              </w:rPr>
            </w:pPr>
            <w:r>
              <w:rPr>
                <w:rFonts w:hint="default" w:ascii="Times New Roman" w:hAnsi="Times New Roman" w:eastAsia="宋体" w:cs="Times New Roman"/>
                <w:b w:val="0"/>
                <w:bCs/>
                <w:i w:val="0"/>
                <w:iCs/>
                <w:color w:val="auto"/>
                <w:sz w:val="20"/>
                <w:szCs w:val="20"/>
                <w:lang w:eastAsia="ja-JP"/>
              </w:rPr>
              <w:t>Alt.2: Set B is a subset of Set A (Set A and Set B are not the same)</w:t>
            </w:r>
          </w:p>
          <w:p>
            <w:pPr>
              <w:keepNext w:val="0"/>
              <w:keepLines w:val="0"/>
              <w:pageBreakBefore w:val="0"/>
              <w:widowControl w:val="0"/>
              <w:numPr>
                <w:ilvl w:val="0"/>
                <w:numId w:val="8"/>
              </w:numPr>
              <w:kinsoku/>
              <w:wordWrap/>
              <w:overflowPunct w:val="0"/>
              <w:topLinePunct w:val="0"/>
              <w:autoSpaceDE w:val="0"/>
              <w:autoSpaceDN w:val="0"/>
              <w:bidi w:val="0"/>
              <w:adjustRightInd w:val="0"/>
              <w:snapToGrid w:val="0"/>
              <w:spacing w:before="95" w:beforeLines="30" w:after="95" w:afterLines="30" w:line="288" w:lineRule="auto"/>
              <w:contextualSpacing/>
              <w:textAlignment w:val="baseline"/>
              <w:rPr>
                <w:b/>
                <w:color w:val="auto"/>
                <w:sz w:val="20"/>
                <w:szCs w:val="20"/>
              </w:rPr>
            </w:pPr>
            <w:r>
              <w:rPr>
                <w:rFonts w:hint="default" w:ascii="Times New Roman" w:hAnsi="Times New Roman" w:eastAsia="宋体" w:cs="Times New Roman"/>
                <w:b w:val="0"/>
                <w:bCs/>
                <w:i w:val="0"/>
                <w:iCs/>
                <w:color w:val="auto"/>
                <w:sz w:val="20"/>
                <w:szCs w:val="20"/>
                <w:lang w:eastAsia="ja-JP"/>
              </w:rPr>
              <w:t>Alt.3: Set A and Set B are the same</w:t>
            </w:r>
          </w:p>
          <w:p>
            <w:pPr>
              <w:keepNext w:val="0"/>
              <w:keepLines w:val="0"/>
              <w:pageBreakBefore w:val="0"/>
              <w:widowControl w:val="0"/>
              <w:numPr>
                <w:ilvl w:val="0"/>
                <w:numId w:val="8"/>
              </w:numPr>
              <w:kinsoku/>
              <w:wordWrap/>
              <w:overflowPunct w:val="0"/>
              <w:topLinePunct w:val="0"/>
              <w:autoSpaceDE w:val="0"/>
              <w:autoSpaceDN w:val="0"/>
              <w:bidi w:val="0"/>
              <w:adjustRightInd w:val="0"/>
              <w:snapToGrid w:val="0"/>
              <w:spacing w:before="95" w:beforeLines="30" w:after="95" w:afterLines="30" w:line="288" w:lineRule="auto"/>
              <w:contextualSpacing/>
              <w:textAlignment w:val="baseline"/>
              <w:rPr>
                <w:b/>
                <w:color w:val="auto"/>
                <w:sz w:val="20"/>
                <w:szCs w:val="20"/>
              </w:rPr>
            </w:pPr>
            <w:r>
              <w:rPr>
                <w:rFonts w:hint="default" w:ascii="Times New Roman" w:hAnsi="Times New Roman" w:eastAsia="宋体" w:cs="Times New Roman"/>
                <w:b w:val="0"/>
                <w:bCs/>
                <w:i w:val="0"/>
                <w:iCs/>
                <w:color w:val="auto"/>
                <w:sz w:val="20"/>
                <w:szCs w:val="20"/>
                <w:lang w:eastAsia="ja-JP"/>
              </w:rPr>
              <w:t>Note1: The beam pattern of Set A and Set B can be clarified by the companies.</w:t>
            </w:r>
          </w:p>
        </w:tc>
      </w:tr>
    </w:tbl>
    <w:p>
      <w:pPr>
        <w:snapToGrid w:val="0"/>
        <w:spacing w:before="72" w:beforeLines="30" w:after="72" w:afterLines="30" w:line="288" w:lineRule="auto"/>
        <w:jc w:val="both"/>
        <w:rPr>
          <w:rFonts w:eastAsia="Times New Roman"/>
          <w:sz w:val="20"/>
          <w:szCs w:val="20"/>
          <w:lang w:val="en-GB"/>
        </w:rPr>
      </w:pPr>
      <w:r>
        <w:rPr>
          <w:rFonts w:hint="eastAsia" w:eastAsia="Times New Roman"/>
          <w:sz w:val="20"/>
          <w:szCs w:val="20"/>
          <w:lang w:val="en-GB"/>
        </w:rPr>
        <w:t>For Alt.1 and Alt.2, the beam sets used for measurement and prediction are different in terms of beam widths and</w:t>
      </w:r>
      <w:r>
        <w:rPr>
          <w:rFonts w:hint="eastAsia"/>
          <w:sz w:val="20"/>
          <w:szCs w:val="20"/>
          <w:lang w:val="en-US" w:eastAsia="zh-CN"/>
        </w:rPr>
        <w:t>/or</w:t>
      </w:r>
      <w:r>
        <w:rPr>
          <w:rFonts w:hint="eastAsia" w:eastAsia="Times New Roman"/>
          <w:sz w:val="20"/>
          <w:szCs w:val="20"/>
          <w:lang w:val="en-GB"/>
        </w:rPr>
        <w:t xml:space="preserve"> number of beams. Essentially, the temporal beam prediction in Alt.1 and Alt.2 mixes two different AI models, i.e., an estimation model and a prediction model. The estimation model aims at inferring high-resolution beam quality information based on low-resolution beam measurement information. The prediction model aims at inferring beam quality information of future time instances based on measurement results </w:t>
      </w:r>
      <w:r>
        <w:rPr>
          <w:rFonts w:hint="eastAsia"/>
          <w:sz w:val="20"/>
          <w:szCs w:val="20"/>
        </w:rPr>
        <w:t xml:space="preserve">of </w:t>
      </w:r>
      <w:r>
        <w:rPr>
          <w:rFonts w:hint="eastAsia" w:eastAsia="Times New Roman"/>
          <w:sz w:val="20"/>
          <w:szCs w:val="20"/>
          <w:lang w:val="en-GB"/>
        </w:rPr>
        <w:t xml:space="preserve">past time instances. Wherein, the beam set for measurement of each past measurement instance can be obtained based on a fixed or random beam pattern, or even by learning the beam space information at the last moment. </w:t>
      </w:r>
      <w:r>
        <w:rPr>
          <w:rFonts w:hint="eastAsia"/>
          <w:sz w:val="20"/>
          <w:szCs w:val="20"/>
        </w:rPr>
        <w:t>T</w:t>
      </w:r>
      <w:r>
        <w:rPr>
          <w:rFonts w:hint="eastAsia" w:eastAsia="Times New Roman"/>
          <w:sz w:val="20"/>
          <w:szCs w:val="20"/>
          <w:lang w:val="en-GB"/>
        </w:rPr>
        <w:t>he specific construction of the beam set for measurement will have a great impact on the beam training overhead, model complexity and inference performance.</w:t>
      </w:r>
    </w:p>
    <w:p>
      <w:pPr>
        <w:snapToGrid w:val="0"/>
        <w:spacing w:before="72" w:beforeLines="30" w:after="72" w:afterLines="30" w:line="288" w:lineRule="auto"/>
        <w:jc w:val="both"/>
        <w:rPr>
          <w:rFonts w:hint="eastAsia" w:eastAsia="Times New Roman"/>
          <w:sz w:val="20"/>
          <w:szCs w:val="20"/>
          <w:lang w:val="en-GB"/>
        </w:rPr>
      </w:pPr>
      <w:r>
        <w:rPr>
          <w:rFonts w:hint="eastAsia"/>
          <w:sz w:val="20"/>
          <w:szCs w:val="20"/>
          <w:lang w:val="en-US" w:eastAsia="zh-CN"/>
        </w:rPr>
        <w:t xml:space="preserve">For </w:t>
      </w:r>
      <w:r>
        <w:rPr>
          <w:rFonts w:hint="eastAsia" w:eastAsia="Times New Roman"/>
          <w:sz w:val="20"/>
          <w:szCs w:val="20"/>
          <w:lang w:val="en-GB"/>
        </w:rPr>
        <w:t>Alt.3, the beam set for measurement is the same as the beam set for prediction. Deep learning algorithms such as RNN can be used to extract the time correlation information of the channel to predict the future beam quality. Obviously, Alt.3 is the most straightforward</w:t>
      </w:r>
      <w:r>
        <w:rPr>
          <w:rFonts w:hint="eastAsia"/>
          <w:sz w:val="20"/>
          <w:szCs w:val="20"/>
          <w:lang w:val="en-US" w:eastAsia="zh-CN"/>
        </w:rPr>
        <w:t xml:space="preserve"> </w:t>
      </w:r>
      <w:r>
        <w:rPr>
          <w:rFonts w:hint="eastAsia" w:eastAsia="Times New Roman"/>
          <w:sz w:val="20"/>
          <w:szCs w:val="20"/>
          <w:lang w:val="en-GB"/>
        </w:rPr>
        <w:t xml:space="preserve">way to implement the temporal beam prediction compared to the other alternatives. Compared with Alt.3, the beam prediction method in Alt.1 and Alt.2 can further reduce the RS overhead for beam measurement. However, in Alt.1 and Alt.2, the selection of the beam set </w:t>
      </w:r>
      <w:r>
        <w:rPr>
          <w:rFonts w:hint="eastAsia"/>
          <w:sz w:val="20"/>
          <w:szCs w:val="20"/>
        </w:rPr>
        <w:t xml:space="preserve">of </w:t>
      </w:r>
      <w:r>
        <w:rPr>
          <w:rFonts w:hint="eastAsia" w:eastAsia="Times New Roman"/>
          <w:sz w:val="20"/>
          <w:szCs w:val="20"/>
          <w:lang w:val="en-GB"/>
        </w:rPr>
        <w:t xml:space="preserve">each past measurement instance is ambiguous and difficult to be aligned across companies. Besides, the difference between the beam set for measurement and the beam set for prediction (like wide beam set B and narrow beam set A) may make it hard for beam reporting and indication. </w:t>
      </w:r>
    </w:p>
    <w:p>
      <w:pPr>
        <w:snapToGrid w:val="0"/>
        <w:spacing w:before="72" w:beforeLines="30" w:after="72" w:afterLines="30" w:line="288" w:lineRule="auto"/>
        <w:jc w:val="both"/>
        <w:rPr>
          <w:rFonts w:eastAsia="Times New Roman"/>
          <w:sz w:val="20"/>
          <w:szCs w:val="20"/>
          <w:lang w:val="en-GB"/>
        </w:rPr>
      </w:pPr>
      <w:r>
        <w:rPr>
          <w:rFonts w:hint="eastAsia" w:eastAsia="Times New Roman"/>
          <w:sz w:val="20"/>
          <w:szCs w:val="20"/>
          <w:lang w:val="en-GB"/>
        </w:rPr>
        <w:t>Consider that Alt.1 and Alt.2 are actually a hybrid method of spatial domain beam prediction and temporal beam prediction. In other word, if the beam set for measurement and the beam set for prediction are different, the spatial domain beam prediction algorithm may be an essential precondition for the temporal beam prediction study</w:t>
      </w:r>
      <w:r>
        <w:rPr>
          <w:rFonts w:hint="eastAsia"/>
          <w:sz w:val="20"/>
          <w:szCs w:val="20"/>
        </w:rPr>
        <w:t xml:space="preserve"> in </w:t>
      </w:r>
      <w:r>
        <w:rPr>
          <w:rFonts w:hint="eastAsia" w:eastAsia="Times New Roman"/>
          <w:sz w:val="20"/>
          <w:szCs w:val="20"/>
          <w:lang w:val="en-GB"/>
        </w:rPr>
        <w:t>Alt.1 and Alt.2. Thus, Alt.3 can be used as a benchmark, while Alt.1 and Alt.2 are deferred until the evaluation of the spatial domain beam prediction in BM-Case1 has achieved sufficient progress.</w:t>
      </w:r>
    </w:p>
    <w:p>
      <w:pPr>
        <w:snapToGrid w:val="0"/>
        <w:spacing w:before="72" w:beforeLines="30" w:after="72" w:afterLines="30" w:line="288" w:lineRule="auto"/>
        <w:jc w:val="both"/>
        <w:rPr>
          <w:rFonts w:eastAsia="Times New Roman"/>
          <w:i/>
          <w:iCs/>
          <w:sz w:val="20"/>
          <w:szCs w:val="20"/>
          <w:lang w:val="en-GB"/>
        </w:rPr>
      </w:pPr>
      <w:r>
        <w:rPr>
          <w:rFonts w:hint="eastAsia" w:eastAsia="Times New Roman"/>
          <w:b/>
          <w:bCs/>
          <w:i/>
          <w:iCs/>
          <w:sz w:val="20"/>
          <w:szCs w:val="20"/>
          <w:lang w:val="en-GB"/>
        </w:rPr>
        <w:t xml:space="preserve">Observation </w:t>
      </w:r>
      <w:r>
        <w:rPr>
          <w:rFonts w:hint="eastAsia"/>
          <w:b/>
          <w:bCs/>
          <w:i/>
          <w:iCs/>
          <w:sz w:val="20"/>
          <w:szCs w:val="20"/>
          <w:lang w:val="en-US" w:eastAsia="zh-CN"/>
        </w:rPr>
        <w:t>5</w:t>
      </w:r>
      <w:r>
        <w:rPr>
          <w:rFonts w:hint="eastAsia" w:eastAsia="Times New Roman"/>
          <w:b/>
          <w:bCs/>
          <w:i/>
          <w:iCs/>
          <w:sz w:val="20"/>
          <w:szCs w:val="20"/>
          <w:lang w:val="en-GB"/>
        </w:rPr>
        <w:t xml:space="preserve">: </w:t>
      </w:r>
      <w:r>
        <w:rPr>
          <w:rFonts w:hint="eastAsia" w:eastAsia="Times New Roman"/>
          <w:i/>
          <w:iCs/>
          <w:sz w:val="20"/>
          <w:szCs w:val="20"/>
          <w:lang w:val="en-GB"/>
        </w:rPr>
        <w:t>The specific construction of the beam set for measurement will have a great impact on the beam training overhead, model complexity and inference performance.</w:t>
      </w:r>
    </w:p>
    <w:p>
      <w:pPr>
        <w:snapToGrid w:val="0"/>
        <w:spacing w:before="72" w:beforeLines="30" w:after="72" w:afterLines="30" w:line="288" w:lineRule="auto"/>
        <w:jc w:val="both"/>
        <w:rPr>
          <w:rFonts w:eastAsia="Times New Roman"/>
          <w:i/>
          <w:iCs/>
          <w:sz w:val="20"/>
          <w:szCs w:val="20"/>
          <w:lang w:val="en-GB"/>
        </w:rPr>
      </w:pPr>
      <w:r>
        <w:rPr>
          <w:rFonts w:hint="eastAsia" w:eastAsia="Times New Roman"/>
          <w:b/>
          <w:bCs/>
          <w:i/>
          <w:iCs/>
          <w:sz w:val="20"/>
          <w:szCs w:val="20"/>
          <w:lang w:val="en-GB"/>
        </w:rPr>
        <w:t xml:space="preserve">Observation </w:t>
      </w:r>
      <w:r>
        <w:rPr>
          <w:rFonts w:hint="eastAsia"/>
          <w:b/>
          <w:bCs/>
          <w:i/>
          <w:iCs/>
          <w:sz w:val="20"/>
          <w:szCs w:val="20"/>
          <w:lang w:val="en-US" w:eastAsia="zh-CN"/>
        </w:rPr>
        <w:t>6</w:t>
      </w:r>
      <w:r>
        <w:rPr>
          <w:rFonts w:hint="eastAsia" w:eastAsia="Times New Roman"/>
          <w:b/>
          <w:bCs/>
          <w:i/>
          <w:iCs/>
          <w:sz w:val="20"/>
          <w:szCs w:val="20"/>
          <w:lang w:val="en-GB"/>
        </w:rPr>
        <w:t xml:space="preserve">: </w:t>
      </w:r>
      <w:r>
        <w:rPr>
          <w:rFonts w:hint="eastAsia" w:eastAsia="Times New Roman"/>
          <w:i/>
          <w:iCs/>
          <w:sz w:val="20"/>
          <w:szCs w:val="20"/>
          <w:lang w:val="en-GB"/>
        </w:rPr>
        <w:t>If the beam set for measurement and the beam set for prediction are different, the spatial domain beam prediction algorithm may be an essential precondition for the temporal beam prediction study.</w:t>
      </w:r>
    </w:p>
    <w:p>
      <w:pPr>
        <w:snapToGrid w:val="0"/>
        <w:spacing w:before="72" w:beforeLines="30" w:after="72" w:afterLines="30" w:line="288" w:lineRule="auto"/>
        <w:jc w:val="both"/>
        <w:rPr>
          <w:rFonts w:eastAsia="Times New Roman"/>
          <w:i/>
          <w:iCs/>
          <w:sz w:val="20"/>
          <w:szCs w:val="20"/>
        </w:rPr>
      </w:pPr>
      <w:r>
        <w:rPr>
          <w:rFonts w:hint="eastAsia" w:eastAsia="Times New Roman"/>
          <w:b/>
          <w:bCs/>
          <w:i/>
          <w:iCs/>
          <w:sz w:val="20"/>
          <w:szCs w:val="20"/>
          <w:lang w:val="en-GB"/>
        </w:rPr>
        <w:t xml:space="preserve">Proposal </w:t>
      </w:r>
      <w:r>
        <w:rPr>
          <w:rFonts w:hint="eastAsia"/>
          <w:b/>
          <w:bCs/>
          <w:i/>
          <w:iCs/>
          <w:sz w:val="20"/>
          <w:szCs w:val="20"/>
          <w:lang w:val="en-US" w:eastAsia="zh-CN"/>
        </w:rPr>
        <w:t>7</w:t>
      </w:r>
      <w:r>
        <w:rPr>
          <w:rFonts w:hint="eastAsia" w:eastAsia="Times New Roman"/>
          <w:b/>
          <w:bCs/>
          <w:i/>
          <w:iCs/>
          <w:sz w:val="20"/>
          <w:szCs w:val="20"/>
          <w:lang w:val="en-GB"/>
        </w:rPr>
        <w:t xml:space="preserve">: </w:t>
      </w:r>
      <w:r>
        <w:rPr>
          <w:rFonts w:hint="eastAsia" w:eastAsia="Times New Roman"/>
          <w:i/>
          <w:iCs/>
          <w:sz w:val="20"/>
          <w:szCs w:val="20"/>
          <w:lang w:val="en-GB"/>
        </w:rPr>
        <w:t>Regarding the beam set construction, Alt.3 can be used as a benchmark, while Alt.1 and Alt.2 are deferred until the evaluation of the spatial domain beam prediction in BM-Case1 has achieved sufficient prog</w:t>
      </w:r>
      <w:r>
        <w:rPr>
          <w:rFonts w:hint="eastAsia" w:eastAsia="Times New Roman"/>
          <w:i/>
          <w:iCs/>
          <w:sz w:val="20"/>
          <w:szCs w:val="20"/>
        </w:rPr>
        <w:t>ress.</w:t>
      </w:r>
    </w:p>
    <w:p>
      <w:pPr>
        <w:snapToGrid w:val="0"/>
        <w:spacing w:before="72" w:beforeLines="30" w:after="72" w:afterLines="30" w:line="288" w:lineRule="auto"/>
        <w:jc w:val="both"/>
        <w:rPr>
          <w:rFonts w:eastAsia="Times New Roman"/>
          <w:b/>
          <w:bCs/>
          <w:sz w:val="20"/>
          <w:szCs w:val="20"/>
          <w:u w:val="single"/>
          <w:lang w:val="en-GB"/>
        </w:rPr>
      </w:pPr>
      <w:r>
        <w:rPr>
          <w:rFonts w:hint="eastAsia" w:eastAsia="Times New Roman"/>
          <w:b/>
          <w:bCs/>
          <w:sz w:val="20"/>
          <w:szCs w:val="20"/>
          <w:u w:val="single"/>
          <w:lang w:val="en-GB"/>
        </w:rPr>
        <w:t>AI/ML input and output:</w:t>
      </w:r>
    </w:p>
    <w:p>
      <w:pPr>
        <w:snapToGrid w:val="0"/>
        <w:spacing w:before="72" w:beforeLines="30" w:after="72" w:afterLines="30" w:line="288" w:lineRule="auto"/>
        <w:jc w:val="both"/>
        <w:rPr>
          <w:rFonts w:eastAsia="Times New Roman"/>
          <w:sz w:val="20"/>
          <w:szCs w:val="20"/>
          <w:lang w:val="en-GB"/>
        </w:rPr>
      </w:pPr>
      <w:r>
        <w:rPr>
          <w:rFonts w:hint="eastAsia" w:eastAsia="Times New Roman"/>
          <w:sz w:val="20"/>
          <w:szCs w:val="20"/>
          <w:lang w:val="en-GB"/>
        </w:rPr>
        <w:t>Regarding the AI/ML input and output for the temporal beam prediction, many kinds of assistance information and different alternatives have been proposed in RAN1#1</w:t>
      </w:r>
      <w:r>
        <w:rPr>
          <w:rFonts w:hint="eastAsia"/>
          <w:sz w:val="20"/>
          <w:szCs w:val="20"/>
          <w:lang w:val="en-US" w:eastAsia="zh-CN"/>
        </w:rPr>
        <w:t>10</w:t>
      </w:r>
      <w:r>
        <w:rPr>
          <w:rFonts w:hint="eastAsia" w:eastAsia="Times New Roman"/>
          <w:sz w:val="20"/>
          <w:szCs w:val="20"/>
          <w:lang w:val="en-GB"/>
        </w:rPr>
        <w:t xml:space="preserve"> and up to companies to explore all possible options. As with the spatial domain beam prediction above, focusing the AI input and output on the measured RSRP and/or beam ID would be a good starting point. The measured RSRP and beam ID represent the beam quality and beam indicator, respectively, where the beam ID can be implicitly indicated by the RS index or TCI state. In this way, the standardization workload and AI model complexity would be relatively low. Incorporating assistance information such as positioning-related measurements as part of AI input may have potential to improve the beam prediction accuracy, depending on further evaluation results. Meanwhile, as mentioned above, some assistance information is </w:t>
      </w:r>
      <w:r>
        <w:rPr>
          <w:rFonts w:hint="eastAsia"/>
          <w:sz w:val="20"/>
          <w:szCs w:val="20"/>
        </w:rPr>
        <w:t>proprietary</w:t>
      </w:r>
      <w:r>
        <w:rPr>
          <w:rFonts w:hint="eastAsia" w:eastAsia="Times New Roman"/>
          <w:sz w:val="20"/>
          <w:szCs w:val="20"/>
          <w:lang w:val="en-GB"/>
        </w:rPr>
        <w:t xml:space="preserve">, which is difficult to be shared with </w:t>
      </w:r>
      <w:r>
        <w:rPr>
          <w:rFonts w:hint="eastAsia"/>
          <w:sz w:val="20"/>
          <w:szCs w:val="20"/>
        </w:rPr>
        <w:t>another vendor</w:t>
      </w:r>
      <w:r>
        <w:rPr>
          <w:rFonts w:hint="eastAsia" w:eastAsia="Times New Roman"/>
          <w:sz w:val="20"/>
          <w:szCs w:val="20"/>
          <w:lang w:val="en-GB"/>
        </w:rPr>
        <w:t>. Therefore, for further performance evaluation and to reduce the standardization workload, the L1-RSRP measurement based on set B can be used as the AI input and the predicted L1-RSRP of DL Tx and/or Rx beams can be used as the AI output.</w:t>
      </w:r>
    </w:p>
    <w:p>
      <w:pPr>
        <w:snapToGrid w:val="0"/>
        <w:spacing w:before="72" w:beforeLines="30" w:after="72" w:afterLines="30" w:line="288" w:lineRule="auto"/>
        <w:jc w:val="both"/>
        <w:rPr>
          <w:rFonts w:hint="eastAsia" w:eastAsia="Times New Roman"/>
          <w:i/>
          <w:iCs/>
          <w:sz w:val="20"/>
          <w:szCs w:val="20"/>
          <w:lang w:val="en-GB"/>
        </w:rPr>
      </w:pPr>
      <w:r>
        <w:rPr>
          <w:rFonts w:hint="eastAsia" w:eastAsia="Times New Roman"/>
          <w:b/>
          <w:bCs/>
          <w:i/>
          <w:iCs/>
          <w:sz w:val="20"/>
          <w:szCs w:val="20"/>
          <w:lang w:val="en-GB"/>
        </w:rPr>
        <w:t xml:space="preserve">Proposal </w:t>
      </w:r>
      <w:r>
        <w:rPr>
          <w:rFonts w:hint="eastAsia"/>
          <w:b/>
          <w:bCs/>
          <w:i/>
          <w:iCs/>
          <w:sz w:val="20"/>
          <w:szCs w:val="20"/>
          <w:lang w:val="en-US" w:eastAsia="zh-CN"/>
        </w:rPr>
        <w:t>8</w:t>
      </w:r>
      <w:r>
        <w:rPr>
          <w:rFonts w:hint="eastAsia" w:eastAsia="Times New Roman"/>
          <w:b/>
          <w:bCs/>
          <w:i/>
          <w:iCs/>
          <w:sz w:val="20"/>
          <w:szCs w:val="20"/>
          <w:lang w:val="en-GB"/>
        </w:rPr>
        <w:t xml:space="preserve">: </w:t>
      </w:r>
      <w:r>
        <w:rPr>
          <w:rFonts w:hint="eastAsia" w:eastAsia="Times New Roman"/>
          <w:i/>
          <w:iCs/>
          <w:sz w:val="20"/>
          <w:szCs w:val="20"/>
          <w:lang w:val="en-GB"/>
        </w:rPr>
        <w:t>For temporal domain beam prediction, focusing the AI input and output on measured RSRP and/or beam ID would be a good starting point, in which case the standardization workload and AI model complexity would be relatively low.</w:t>
      </w:r>
    </w:p>
    <w:p>
      <w:pPr>
        <w:snapToGrid w:val="0"/>
        <w:spacing w:before="72" w:beforeLines="30" w:after="72" w:afterLines="30" w:line="288" w:lineRule="auto"/>
        <w:jc w:val="both"/>
        <w:rPr>
          <w:rFonts w:hint="eastAsia" w:eastAsia="Times New Roman"/>
          <w:i/>
          <w:iCs/>
          <w:sz w:val="20"/>
          <w:szCs w:val="20"/>
          <w:lang w:val="en-GB"/>
        </w:rPr>
      </w:pPr>
    </w:p>
    <w:p>
      <w:pPr>
        <w:numPr>
          <w:ilvl w:val="0"/>
          <w:numId w:val="5"/>
        </w:numPr>
        <w:tabs>
          <w:tab w:val="clear" w:pos="432"/>
        </w:tabs>
        <w:snapToGrid w:val="0"/>
        <w:spacing w:before="120" w:beforeLines="50" w:after="120" w:afterLines="50" w:line="288" w:lineRule="auto"/>
        <w:ind w:left="567" w:hanging="567"/>
        <w:jc w:val="both"/>
        <w:outlineLvl w:val="0"/>
        <w:rPr>
          <w:b/>
          <w:sz w:val="28"/>
          <w:szCs w:val="28"/>
        </w:rPr>
      </w:pPr>
      <w:r>
        <w:rPr>
          <w:rFonts w:hint="eastAsia"/>
          <w:b/>
          <w:sz w:val="28"/>
          <w:szCs w:val="28"/>
        </w:rPr>
        <w:t>Potential specification impacts</w:t>
      </w:r>
    </w:p>
    <w:p>
      <w:pPr>
        <w:snapToGrid w:val="0"/>
        <w:spacing w:before="72" w:beforeLines="30" w:after="72" w:afterLines="30" w:line="288" w:lineRule="auto"/>
        <w:jc w:val="both"/>
        <w:rPr>
          <w:rFonts w:eastAsia="Times New Roman"/>
          <w:sz w:val="20"/>
          <w:szCs w:val="20"/>
          <w:lang w:val="en-GB"/>
        </w:rPr>
      </w:pPr>
      <w:r>
        <w:rPr>
          <w:rFonts w:hint="eastAsia" w:eastAsia="Times New Roman"/>
          <w:sz w:val="20"/>
          <w:szCs w:val="20"/>
          <w:lang w:val="en-GB"/>
        </w:rPr>
        <w:t>Regarding the potential spec impacts, it is heavily dependent on the specific sub use cases. Based on the above discussion of the selected sub use cases, we will elaborate our initial view on potential specification enhancements.</w:t>
      </w:r>
    </w:p>
    <w:p>
      <w:pPr>
        <w:snapToGrid w:val="0"/>
        <w:spacing w:before="72" w:beforeLines="30" w:after="72" w:afterLines="30" w:line="288" w:lineRule="auto"/>
        <w:jc w:val="both"/>
        <w:rPr>
          <w:rFonts w:eastAsia="Times New Roman"/>
          <w:b/>
          <w:bCs/>
          <w:sz w:val="20"/>
          <w:szCs w:val="20"/>
          <w:u w:val="single"/>
          <w:lang w:val="en-GB"/>
        </w:rPr>
      </w:pPr>
      <w:r>
        <w:rPr>
          <w:rFonts w:hint="eastAsia" w:eastAsia="Times New Roman"/>
          <w:b/>
          <w:bCs/>
          <w:sz w:val="20"/>
          <w:szCs w:val="20"/>
          <w:u w:val="single"/>
          <w:lang w:val="en-GB"/>
        </w:rPr>
        <w:t>Enhanced beam reporting</w:t>
      </w:r>
    </w:p>
    <w:p>
      <w:pPr>
        <w:snapToGrid w:val="0"/>
        <w:spacing w:before="72" w:beforeLines="30" w:after="72" w:afterLines="30" w:line="288" w:lineRule="auto"/>
        <w:jc w:val="both"/>
        <w:rPr>
          <w:rFonts w:eastAsia="Times New Roman"/>
          <w:sz w:val="20"/>
          <w:szCs w:val="20"/>
        </w:rPr>
      </w:pPr>
      <w:r>
        <w:rPr>
          <w:rFonts w:hint="eastAsia" w:eastAsia="Times New Roman"/>
          <w:b/>
          <w:bCs/>
          <w:sz w:val="20"/>
          <w:szCs w:val="20"/>
        </w:rPr>
        <w:t xml:space="preserve">NW-side beam prediction AI/ML models: </w:t>
      </w:r>
      <w:r>
        <w:rPr>
          <w:rFonts w:eastAsia="Times New Roman"/>
          <w:sz w:val="20"/>
          <w:szCs w:val="20"/>
        </w:rPr>
        <w:t xml:space="preserve">If the </w:t>
      </w:r>
      <w:r>
        <w:rPr>
          <w:rFonts w:hint="eastAsia" w:eastAsia="Times New Roman"/>
          <w:sz w:val="20"/>
          <w:szCs w:val="20"/>
        </w:rPr>
        <w:t xml:space="preserve">AI </w:t>
      </w:r>
      <w:r>
        <w:rPr>
          <w:rFonts w:eastAsia="Times New Roman"/>
          <w:sz w:val="20"/>
          <w:szCs w:val="20"/>
        </w:rPr>
        <w:t xml:space="preserve">model inference </w:t>
      </w:r>
      <w:r>
        <w:rPr>
          <w:rFonts w:hint="eastAsia" w:eastAsia="Times New Roman"/>
          <w:sz w:val="20"/>
          <w:szCs w:val="20"/>
        </w:rPr>
        <w:t xml:space="preserve">is </w:t>
      </w:r>
      <w:r>
        <w:rPr>
          <w:rFonts w:eastAsia="Times New Roman"/>
          <w:sz w:val="20"/>
          <w:szCs w:val="20"/>
        </w:rPr>
        <w:t xml:space="preserve">carried out at the gNB side, sufficient beam measurement results are required as model input. To this end, UE needs to report a large amount of beam measurement information to gNB. Therefore, enhanced beam reporting </w:t>
      </w:r>
      <w:r>
        <w:rPr>
          <w:rFonts w:hint="eastAsia" w:eastAsia="Times New Roman"/>
          <w:sz w:val="20"/>
          <w:szCs w:val="20"/>
        </w:rPr>
        <w:t>mechanisms</w:t>
      </w:r>
      <w:r>
        <w:rPr>
          <w:rFonts w:eastAsia="Times New Roman"/>
          <w:sz w:val="20"/>
          <w:szCs w:val="20"/>
        </w:rPr>
        <w:t xml:space="preserve"> need to be studied, such as further screening, compression, and reporting of </w:t>
      </w:r>
      <w:r>
        <w:rPr>
          <w:rFonts w:hint="eastAsia" w:eastAsia="Times New Roman"/>
          <w:sz w:val="20"/>
          <w:szCs w:val="20"/>
        </w:rPr>
        <w:t xml:space="preserve">the </w:t>
      </w:r>
      <w:r>
        <w:rPr>
          <w:rFonts w:eastAsia="Times New Roman"/>
          <w:sz w:val="20"/>
          <w:szCs w:val="20"/>
        </w:rPr>
        <w:t xml:space="preserve">beam measurement results, so as to balance the beam prediction performance and beam reporting overhead. Meanwhile, for L1-RSRP reporting in Rel-17, the maximum RSRP and the differential RSRP are respectively quantized into 7-bit and 4-bit payloads. This quantization method leads to errors in beam reporting. For AI-based beam prediction, the impact of quantization errors on </w:t>
      </w:r>
      <w:r>
        <w:rPr>
          <w:rFonts w:hint="eastAsia" w:eastAsia="Times New Roman"/>
          <w:sz w:val="20"/>
          <w:szCs w:val="20"/>
        </w:rPr>
        <w:t xml:space="preserve">beam </w:t>
      </w:r>
      <w:r>
        <w:rPr>
          <w:rFonts w:eastAsia="Times New Roman"/>
          <w:sz w:val="20"/>
          <w:szCs w:val="20"/>
        </w:rPr>
        <w:t>prediction accuracy and how to improve the beam reporting accuracy also need further evaluation.</w:t>
      </w:r>
    </w:p>
    <w:p>
      <w:pPr>
        <w:snapToGrid w:val="0"/>
        <w:spacing w:before="72" w:beforeLines="30" w:after="72" w:afterLines="30" w:line="288" w:lineRule="auto"/>
        <w:jc w:val="both"/>
        <w:rPr>
          <w:rFonts w:eastAsia="Times New Roman"/>
          <w:sz w:val="20"/>
          <w:szCs w:val="20"/>
        </w:rPr>
      </w:pPr>
      <w:r>
        <w:rPr>
          <w:rFonts w:hint="eastAsia" w:eastAsia="Times New Roman"/>
          <w:b/>
          <w:bCs/>
          <w:sz w:val="20"/>
          <w:szCs w:val="20"/>
        </w:rPr>
        <w:t xml:space="preserve">UE-side beam prediction AI/ML models: </w:t>
      </w:r>
      <w:r>
        <w:rPr>
          <w:rFonts w:hint="eastAsia" w:eastAsia="Times New Roman"/>
          <w:sz w:val="20"/>
          <w:szCs w:val="20"/>
        </w:rPr>
        <w:t xml:space="preserve">The deployed AI model on the UE side can extract the spatial correlation of the channel through deep learning-based super-resolution technology, and infers all beam quality based on measurement results on partial </w:t>
      </w:r>
      <w:r>
        <w:rPr>
          <w:rFonts w:hint="eastAsia"/>
          <w:sz w:val="20"/>
          <w:szCs w:val="20"/>
        </w:rPr>
        <w:t xml:space="preserve">narrow </w:t>
      </w:r>
      <w:r>
        <w:rPr>
          <w:rFonts w:hint="eastAsia" w:eastAsia="Times New Roman"/>
          <w:sz w:val="20"/>
          <w:szCs w:val="20"/>
        </w:rPr>
        <w:t>beams or wide beams. However, the deployed AI model may be completely transparent to the gNB, which is trained by the UE itself or downloaded directly from a third party. In this case, signaling methods need to be investigated to enable recommendation, configuration, and indication of the beam set for measurement. Consider that the beam set for measurement and the beam set for prediction may be different. Therefore, a mapping relationship between the two sets needs to be established to achieve mutual indication. For example, the UE may report a virtual RS index that implicitly indicates the optimal beam inferred by the deployed AI model at the UE side.</w:t>
      </w:r>
    </w:p>
    <w:p>
      <w:pPr>
        <w:snapToGrid w:val="0"/>
        <w:spacing w:before="72" w:beforeLines="30" w:after="72" w:afterLines="30" w:line="288" w:lineRule="auto"/>
        <w:jc w:val="both"/>
        <w:rPr>
          <w:rFonts w:eastAsia="Times New Roman"/>
          <w:i/>
          <w:iCs/>
          <w:sz w:val="20"/>
          <w:szCs w:val="20"/>
        </w:rPr>
      </w:pPr>
      <w:r>
        <w:rPr>
          <w:rFonts w:hint="eastAsia" w:eastAsia="Times New Roman"/>
          <w:b/>
          <w:bCs/>
          <w:i/>
          <w:iCs/>
          <w:sz w:val="20"/>
          <w:szCs w:val="20"/>
        </w:rPr>
        <w:t xml:space="preserve">Proposal </w:t>
      </w:r>
      <w:r>
        <w:rPr>
          <w:rFonts w:hint="eastAsia"/>
          <w:b/>
          <w:bCs/>
          <w:i/>
          <w:iCs/>
          <w:sz w:val="20"/>
          <w:szCs w:val="20"/>
          <w:lang w:val="en-US" w:eastAsia="zh-CN"/>
        </w:rPr>
        <w:t>9</w:t>
      </w:r>
      <w:r>
        <w:rPr>
          <w:rFonts w:hint="eastAsia" w:eastAsia="Times New Roman"/>
          <w:b/>
          <w:bCs/>
          <w:i/>
          <w:iCs/>
          <w:sz w:val="20"/>
          <w:szCs w:val="20"/>
        </w:rPr>
        <w:t>:</w:t>
      </w:r>
      <w:r>
        <w:rPr>
          <w:rFonts w:hint="eastAsia" w:eastAsia="Times New Roman"/>
          <w:i/>
          <w:iCs/>
          <w:sz w:val="20"/>
          <w:szCs w:val="20"/>
        </w:rPr>
        <w:t xml:space="preserve"> </w:t>
      </w:r>
      <w:r>
        <w:rPr>
          <w:rFonts w:eastAsia="Times New Roman"/>
          <w:i/>
          <w:iCs/>
          <w:sz w:val="20"/>
          <w:szCs w:val="20"/>
        </w:rPr>
        <w:t>For NW-side beam prediction AI/ML models, enhanced beam reporting mechanisms such as further screening, compression, and reporting of the beam measurement results need to be studied so as to balance the beam prediction performance and beam reporting overhead.</w:t>
      </w:r>
    </w:p>
    <w:p>
      <w:pPr>
        <w:snapToGrid w:val="0"/>
        <w:spacing w:before="72" w:beforeLines="30" w:after="72" w:afterLines="30" w:line="288" w:lineRule="auto"/>
        <w:jc w:val="both"/>
        <w:rPr>
          <w:rFonts w:eastAsia="Times New Roman"/>
          <w:i/>
          <w:iCs/>
          <w:sz w:val="20"/>
          <w:szCs w:val="20"/>
        </w:rPr>
      </w:pPr>
      <w:r>
        <w:rPr>
          <w:rFonts w:hint="eastAsia" w:eastAsia="Times New Roman"/>
          <w:b/>
          <w:bCs/>
          <w:i/>
          <w:iCs/>
          <w:sz w:val="20"/>
          <w:szCs w:val="20"/>
        </w:rPr>
        <w:t xml:space="preserve">Proposal </w:t>
      </w:r>
      <w:r>
        <w:rPr>
          <w:rFonts w:hint="eastAsia"/>
          <w:b/>
          <w:bCs/>
          <w:i/>
          <w:iCs/>
          <w:sz w:val="20"/>
          <w:szCs w:val="20"/>
          <w:lang w:val="en-US" w:eastAsia="zh-CN"/>
        </w:rPr>
        <w:t>10</w:t>
      </w:r>
      <w:r>
        <w:rPr>
          <w:rFonts w:hint="eastAsia" w:eastAsia="Times New Roman"/>
          <w:b/>
          <w:bCs/>
          <w:i/>
          <w:iCs/>
          <w:sz w:val="20"/>
          <w:szCs w:val="20"/>
        </w:rPr>
        <w:t xml:space="preserve">: </w:t>
      </w:r>
      <w:r>
        <w:rPr>
          <w:rFonts w:eastAsia="Times New Roman"/>
          <w:i/>
          <w:iCs/>
          <w:sz w:val="20"/>
          <w:szCs w:val="20"/>
        </w:rPr>
        <w:t>For UE-side beam prediction AI/ML models, signaling methods need to be investigated to enable recommendation, configuration, and indication of the beam set for measurement.</w:t>
      </w:r>
    </w:p>
    <w:p>
      <w:pPr>
        <w:snapToGrid w:val="0"/>
        <w:spacing w:before="72" w:beforeLines="30" w:after="72" w:afterLines="30" w:line="288" w:lineRule="auto"/>
        <w:jc w:val="both"/>
        <w:rPr>
          <w:rFonts w:eastAsia="Times New Roman"/>
          <w:b/>
          <w:bCs/>
          <w:sz w:val="20"/>
          <w:szCs w:val="20"/>
          <w:u w:val="single"/>
          <w:lang w:val="en-GB"/>
        </w:rPr>
      </w:pPr>
      <w:r>
        <w:rPr>
          <w:rFonts w:hint="eastAsia" w:eastAsia="Times New Roman"/>
          <w:b/>
          <w:bCs/>
          <w:sz w:val="20"/>
          <w:szCs w:val="20"/>
          <w:u w:val="single"/>
          <w:lang w:val="en-GB"/>
        </w:rPr>
        <w:t>Flexible resource configuration</w:t>
      </w:r>
      <w:r>
        <w:rPr>
          <w:rFonts w:eastAsia="Times New Roman"/>
          <w:b/>
          <w:bCs/>
          <w:sz w:val="20"/>
          <w:szCs w:val="20"/>
          <w:u w:val="single"/>
          <w:lang w:val="en-GB"/>
        </w:rPr>
        <w:t xml:space="preserve"> and beam indication</w:t>
      </w:r>
    </w:p>
    <w:p>
      <w:pPr>
        <w:snapToGrid w:val="0"/>
        <w:spacing w:before="72" w:beforeLines="30" w:after="72" w:afterLines="30" w:line="288" w:lineRule="auto"/>
        <w:jc w:val="both"/>
        <w:rPr>
          <w:rFonts w:eastAsia="Times New Roman"/>
          <w:sz w:val="20"/>
          <w:szCs w:val="20"/>
        </w:rPr>
      </w:pPr>
      <w:r>
        <w:rPr>
          <w:rFonts w:eastAsia="Times New Roman"/>
          <w:sz w:val="20"/>
          <w:szCs w:val="20"/>
        </w:rPr>
        <w:t xml:space="preserve">In traditional beam management methods, the gNB would sweep all beams at the codebook by sending periodic RS resource sets. In </w:t>
      </w:r>
      <w:r>
        <w:rPr>
          <w:rFonts w:hint="eastAsia"/>
          <w:sz w:val="20"/>
          <w:szCs w:val="20"/>
          <w:lang w:val="en-US" w:eastAsia="zh-CN"/>
        </w:rPr>
        <w:t xml:space="preserve">the </w:t>
      </w:r>
      <w:r>
        <w:rPr>
          <w:rFonts w:eastAsia="Times New Roman"/>
          <w:sz w:val="20"/>
          <w:szCs w:val="20"/>
        </w:rPr>
        <w:t>AI/ML based spatial domain and temporal beam prediction, the gNB only needs to sweep a small range of beams according to the Top-K beams inferred by AI. Therefore, existing resource configuration methods can be enhanced by more flexibly triggering or activating arbitrary resources in a certain resource set.</w:t>
      </w:r>
      <w:r>
        <w:rPr>
          <w:rFonts w:hint="eastAsia" w:eastAsia="Times New Roman"/>
          <w:sz w:val="20"/>
          <w:szCs w:val="20"/>
        </w:rPr>
        <w:t xml:space="preserve"> E</w:t>
      </w:r>
      <w:r>
        <w:rPr>
          <w:rFonts w:eastAsia="Times New Roman"/>
          <w:sz w:val="20"/>
          <w:szCs w:val="20"/>
        </w:rPr>
        <w:t>ach resource or resource set can be associated with a time stamp that depicts the effective time of corresponding parameters</w:t>
      </w:r>
      <w:r>
        <w:rPr>
          <w:rFonts w:hint="eastAsia" w:eastAsia="Times New Roman"/>
          <w:sz w:val="20"/>
          <w:szCs w:val="20"/>
        </w:rPr>
        <w:t xml:space="preserve">. Furthermore, considering that the optimal beam at multiple future time instances can be predicted in advance with the AL/ML based temporal beam prediction method, more flexible beam indication and subsequent beam switching methods can be studied. </w:t>
      </w:r>
      <w:r>
        <w:rPr>
          <w:rFonts w:eastAsia="Times New Roman"/>
          <w:sz w:val="20"/>
          <w:szCs w:val="20"/>
        </w:rPr>
        <w:t xml:space="preserve">For instance, a list of </w:t>
      </w:r>
      <w:r>
        <w:rPr>
          <w:rFonts w:hint="eastAsia"/>
          <w:sz w:val="20"/>
          <w:szCs w:val="20"/>
        </w:rPr>
        <w:t xml:space="preserve">TCI </w:t>
      </w:r>
      <w:r>
        <w:rPr>
          <w:rFonts w:eastAsia="Times New Roman"/>
          <w:sz w:val="20"/>
          <w:szCs w:val="20"/>
        </w:rPr>
        <w:t>states</w:t>
      </w:r>
      <w:r>
        <w:rPr>
          <w:rFonts w:hint="eastAsia"/>
          <w:sz w:val="20"/>
          <w:szCs w:val="20"/>
        </w:rPr>
        <w:t xml:space="preserve"> and </w:t>
      </w:r>
      <w:r>
        <w:rPr>
          <w:rFonts w:eastAsia="Times New Roman"/>
          <w:sz w:val="20"/>
          <w:szCs w:val="20"/>
        </w:rPr>
        <w:t xml:space="preserve">corresponding time </w:t>
      </w:r>
      <w:r>
        <w:rPr>
          <w:rFonts w:hint="eastAsia" w:eastAsia="Times New Roman"/>
          <w:sz w:val="20"/>
          <w:szCs w:val="20"/>
        </w:rPr>
        <w:t>stamps can be indicated by the same signaling to be applied in future time instances.</w:t>
      </w:r>
    </w:p>
    <w:p>
      <w:pPr>
        <w:snapToGrid w:val="0"/>
        <w:spacing w:before="72" w:beforeLines="30" w:after="72" w:afterLines="30" w:line="288" w:lineRule="auto"/>
        <w:jc w:val="both"/>
        <w:rPr>
          <w:rFonts w:eastAsia="Times New Roman"/>
          <w:i/>
          <w:iCs/>
          <w:sz w:val="20"/>
          <w:szCs w:val="20"/>
        </w:rPr>
      </w:pPr>
      <w:r>
        <w:rPr>
          <w:rFonts w:hint="eastAsia" w:eastAsia="Times New Roman"/>
          <w:b/>
          <w:bCs/>
          <w:i/>
          <w:iCs/>
          <w:sz w:val="20"/>
          <w:szCs w:val="20"/>
        </w:rPr>
        <w:t>Proposal 1</w:t>
      </w:r>
      <w:r>
        <w:rPr>
          <w:rFonts w:hint="eastAsia"/>
          <w:b/>
          <w:bCs/>
          <w:i/>
          <w:iCs/>
          <w:sz w:val="20"/>
          <w:szCs w:val="20"/>
          <w:lang w:val="en-US" w:eastAsia="zh-CN"/>
        </w:rPr>
        <w:t>1</w:t>
      </w:r>
      <w:r>
        <w:rPr>
          <w:rFonts w:hint="eastAsia" w:eastAsia="Times New Roman"/>
          <w:b/>
          <w:bCs/>
          <w:i/>
          <w:iCs/>
          <w:sz w:val="20"/>
          <w:szCs w:val="20"/>
        </w:rPr>
        <w:t xml:space="preserve">: </w:t>
      </w:r>
      <w:r>
        <w:rPr>
          <w:rFonts w:hint="eastAsia" w:eastAsia="Times New Roman"/>
          <w:i/>
          <w:iCs/>
          <w:sz w:val="20"/>
          <w:szCs w:val="20"/>
        </w:rPr>
        <w:t>Study enhanced r</w:t>
      </w:r>
      <w:r>
        <w:rPr>
          <w:rFonts w:eastAsia="Times New Roman"/>
          <w:i/>
          <w:iCs/>
          <w:sz w:val="20"/>
          <w:szCs w:val="20"/>
        </w:rPr>
        <w:t>esource configuration</w:t>
      </w:r>
      <w:r>
        <w:rPr>
          <w:rFonts w:hint="eastAsia" w:eastAsia="Times New Roman"/>
          <w:i/>
          <w:iCs/>
          <w:sz w:val="20"/>
          <w:szCs w:val="20"/>
        </w:rPr>
        <w:t xml:space="preserve"> and beam indication</w:t>
      </w:r>
      <w:r>
        <w:rPr>
          <w:rFonts w:eastAsia="Times New Roman"/>
          <w:i/>
          <w:iCs/>
          <w:sz w:val="20"/>
          <w:szCs w:val="20"/>
        </w:rPr>
        <w:t xml:space="preserve"> </w:t>
      </w:r>
      <w:r>
        <w:rPr>
          <w:rFonts w:hint="eastAsia"/>
          <w:i/>
          <w:iCs/>
          <w:sz w:val="20"/>
          <w:szCs w:val="20"/>
          <w:lang w:val="en-US" w:eastAsia="zh-CN"/>
        </w:rPr>
        <w:t xml:space="preserve">mechanism </w:t>
      </w:r>
      <w:r>
        <w:rPr>
          <w:rFonts w:eastAsia="Times New Roman"/>
          <w:i/>
          <w:iCs/>
          <w:sz w:val="20"/>
          <w:szCs w:val="20"/>
        </w:rPr>
        <w:t>if</w:t>
      </w:r>
      <w:r>
        <w:rPr>
          <w:rFonts w:hint="eastAsia" w:eastAsia="Times New Roman"/>
          <w:i/>
          <w:iCs/>
          <w:sz w:val="20"/>
          <w:szCs w:val="20"/>
        </w:rPr>
        <w:t xml:space="preserve"> </w:t>
      </w:r>
      <w:r>
        <w:rPr>
          <w:rFonts w:eastAsia="Times New Roman"/>
          <w:i/>
          <w:iCs/>
          <w:sz w:val="20"/>
          <w:szCs w:val="20"/>
        </w:rPr>
        <w:t xml:space="preserve">more flexible triggering or activating </w:t>
      </w:r>
      <w:r>
        <w:rPr>
          <w:rFonts w:hint="eastAsia" w:eastAsia="Times New Roman"/>
          <w:i/>
          <w:iCs/>
          <w:sz w:val="20"/>
          <w:szCs w:val="20"/>
        </w:rPr>
        <w:t xml:space="preserve">approaches </w:t>
      </w:r>
      <w:r>
        <w:rPr>
          <w:rFonts w:hint="eastAsia"/>
          <w:i/>
          <w:iCs/>
          <w:sz w:val="20"/>
          <w:szCs w:val="20"/>
        </w:rPr>
        <w:t xml:space="preserve">are </w:t>
      </w:r>
      <w:r>
        <w:rPr>
          <w:rFonts w:hint="eastAsia" w:eastAsia="Times New Roman"/>
          <w:i/>
          <w:iCs/>
          <w:sz w:val="20"/>
          <w:szCs w:val="20"/>
        </w:rPr>
        <w:t>utilized</w:t>
      </w:r>
      <w:r>
        <w:rPr>
          <w:rFonts w:eastAsia="Times New Roman"/>
          <w:i/>
          <w:iCs/>
          <w:sz w:val="20"/>
          <w:szCs w:val="20"/>
        </w:rPr>
        <w:t>.</w:t>
      </w:r>
    </w:p>
    <w:p>
      <w:pPr>
        <w:snapToGrid w:val="0"/>
        <w:spacing w:before="72" w:beforeLines="30" w:after="72" w:afterLines="30" w:line="288" w:lineRule="auto"/>
        <w:jc w:val="both"/>
        <w:rPr>
          <w:rFonts w:eastAsia="Times New Roman"/>
          <w:b/>
          <w:bCs/>
          <w:sz w:val="20"/>
          <w:szCs w:val="20"/>
          <w:u w:val="single"/>
          <w:lang w:val="en-GB"/>
        </w:rPr>
      </w:pPr>
      <w:r>
        <w:rPr>
          <w:rFonts w:hint="eastAsia" w:eastAsia="Times New Roman"/>
          <w:b/>
          <w:bCs/>
          <w:sz w:val="20"/>
          <w:szCs w:val="20"/>
          <w:u w:val="single"/>
          <w:lang w:val="en-GB"/>
        </w:rPr>
        <w:t>Assistance information exchange</w:t>
      </w:r>
    </w:p>
    <w:p>
      <w:pPr>
        <w:snapToGrid w:val="0"/>
        <w:spacing w:before="72" w:beforeLines="30" w:after="72" w:afterLines="30" w:line="288" w:lineRule="auto"/>
        <w:jc w:val="both"/>
        <w:rPr>
          <w:rFonts w:eastAsia="Times New Roman"/>
          <w:sz w:val="20"/>
          <w:szCs w:val="20"/>
        </w:rPr>
      </w:pPr>
      <w:r>
        <w:rPr>
          <w:rFonts w:eastAsia="Times New Roman"/>
          <w:sz w:val="20"/>
          <w:szCs w:val="20"/>
        </w:rPr>
        <w:t>In the spatial domain beam prediction and temporal beam prediction, assistance information such as beam direction or positioning-related measurement are used as candidates for AI model input. Considering that the beam implementation information in the existing protocol is completely transparent between gNB and UE. Therefore, enhanced resource configuration and reporting mechanisms need to be investigated to facilitate the exchange of assistance information, which can be either implicit or explicit. More specifically, if the AI inference is performed on the gNB side, the UE may need to feed back receive beam-related information</w:t>
      </w:r>
      <w:r>
        <w:rPr>
          <w:rFonts w:hint="eastAsia"/>
          <w:sz w:val="20"/>
          <w:szCs w:val="20"/>
          <w:lang w:val="en-US" w:eastAsia="zh-CN"/>
        </w:rPr>
        <w:t xml:space="preserve"> to the gNB</w:t>
      </w:r>
      <w:r>
        <w:rPr>
          <w:rFonts w:eastAsia="Times New Roman"/>
          <w:sz w:val="20"/>
          <w:szCs w:val="20"/>
        </w:rPr>
        <w:t>, which may include beam ID, beam direction, beam pattern, and so on. Similarly, if the AI  inference is performed on the UE side, the gNB may need to indicate</w:t>
      </w:r>
      <w:r>
        <w:rPr>
          <w:rFonts w:hint="eastAsia"/>
          <w:sz w:val="20"/>
          <w:szCs w:val="20"/>
        </w:rPr>
        <w:t xml:space="preserve"> </w:t>
      </w:r>
      <w:r>
        <w:rPr>
          <w:rFonts w:eastAsia="Times New Roman"/>
          <w:sz w:val="20"/>
          <w:szCs w:val="20"/>
        </w:rPr>
        <w:t xml:space="preserve">beam-related information </w:t>
      </w:r>
      <w:r>
        <w:rPr>
          <w:rFonts w:hint="eastAsia"/>
          <w:sz w:val="20"/>
          <w:szCs w:val="20"/>
        </w:rPr>
        <w:t xml:space="preserve">in transmission side </w:t>
      </w:r>
      <w:r>
        <w:rPr>
          <w:rFonts w:eastAsia="Times New Roman"/>
          <w:sz w:val="20"/>
          <w:szCs w:val="20"/>
        </w:rPr>
        <w:t>to the UE. Furthermore, the exchanged assistance information may include indication information related to model activation</w:t>
      </w:r>
      <w:r>
        <w:rPr>
          <w:rFonts w:hint="eastAsia"/>
          <w:sz w:val="20"/>
          <w:szCs w:val="20"/>
          <w:lang w:val="en-US" w:eastAsia="zh-CN"/>
        </w:rPr>
        <w:t>/deactivation</w:t>
      </w:r>
      <w:r>
        <w:rPr>
          <w:rFonts w:eastAsia="Times New Roman"/>
          <w:sz w:val="20"/>
          <w:szCs w:val="20"/>
        </w:rPr>
        <w:t xml:space="preserve"> and switching, depending on which side the AI model is deployed on.</w:t>
      </w:r>
    </w:p>
    <w:p>
      <w:pPr>
        <w:snapToGrid w:val="0"/>
        <w:spacing w:before="72" w:beforeLines="30" w:after="72" w:afterLines="30" w:line="288" w:lineRule="auto"/>
        <w:jc w:val="both"/>
        <w:rPr>
          <w:rFonts w:eastAsia="Times New Roman"/>
          <w:i/>
          <w:iCs/>
          <w:sz w:val="20"/>
          <w:szCs w:val="20"/>
        </w:rPr>
      </w:pPr>
      <w:r>
        <w:rPr>
          <w:rFonts w:hint="eastAsia" w:eastAsia="Times New Roman"/>
          <w:b/>
          <w:bCs/>
          <w:i/>
          <w:iCs/>
          <w:sz w:val="20"/>
          <w:szCs w:val="20"/>
        </w:rPr>
        <w:t>Proposal 1</w:t>
      </w:r>
      <w:r>
        <w:rPr>
          <w:rFonts w:hint="eastAsia"/>
          <w:b/>
          <w:bCs/>
          <w:i/>
          <w:iCs/>
          <w:sz w:val="20"/>
          <w:szCs w:val="20"/>
          <w:lang w:val="en-US" w:eastAsia="zh-CN"/>
        </w:rPr>
        <w:t>2</w:t>
      </w:r>
      <w:r>
        <w:rPr>
          <w:rFonts w:hint="eastAsia" w:eastAsia="Times New Roman"/>
          <w:b/>
          <w:bCs/>
          <w:i/>
          <w:iCs/>
          <w:sz w:val="20"/>
          <w:szCs w:val="20"/>
        </w:rPr>
        <w:t>:</w:t>
      </w:r>
      <w:r>
        <w:rPr>
          <w:rFonts w:hint="eastAsia" w:eastAsia="Times New Roman"/>
          <w:i/>
          <w:iCs/>
          <w:sz w:val="20"/>
          <w:szCs w:val="20"/>
        </w:rPr>
        <w:t xml:space="preserve"> E</w:t>
      </w:r>
      <w:r>
        <w:rPr>
          <w:rFonts w:eastAsia="Times New Roman"/>
          <w:i/>
          <w:iCs/>
          <w:sz w:val="20"/>
          <w:szCs w:val="20"/>
        </w:rPr>
        <w:t>nhanced resource configuration and reporting mechanisms need to be investigated to facilitate the exchange of assistance information, which can be either implicit or explicit.</w:t>
      </w:r>
    </w:p>
    <w:p>
      <w:pPr>
        <w:snapToGrid w:val="0"/>
        <w:spacing w:before="72" w:beforeLines="30" w:after="72" w:afterLines="30" w:line="288" w:lineRule="auto"/>
        <w:jc w:val="both"/>
        <w:rPr>
          <w:rFonts w:hint="default" w:eastAsia="宋体"/>
          <w:b/>
          <w:bCs/>
          <w:sz w:val="20"/>
          <w:szCs w:val="20"/>
          <w:u w:val="single"/>
          <w:lang w:val="en-US" w:eastAsia="zh-CN"/>
        </w:rPr>
      </w:pPr>
      <w:r>
        <w:rPr>
          <w:rFonts w:hint="eastAsia" w:eastAsia="Times New Roman"/>
          <w:b/>
          <w:bCs/>
          <w:sz w:val="20"/>
          <w:szCs w:val="20"/>
          <w:u w:val="single"/>
          <w:lang w:val="en-GB"/>
        </w:rPr>
        <w:t xml:space="preserve">Dedicated configuration for </w:t>
      </w:r>
      <w:r>
        <w:rPr>
          <w:rFonts w:hint="eastAsia"/>
          <w:b/>
          <w:bCs/>
          <w:sz w:val="20"/>
          <w:szCs w:val="20"/>
          <w:u w:val="single"/>
          <w:lang w:val="en-US" w:eastAsia="zh-CN"/>
        </w:rPr>
        <w:t>Tx-Rx beam pair prediction</w:t>
      </w:r>
    </w:p>
    <w:p>
      <w:pPr>
        <w:spacing w:before="72" w:beforeLines="30" w:after="72" w:afterLines="30" w:line="288" w:lineRule="auto"/>
        <w:jc w:val="both"/>
        <w:rPr>
          <w:rFonts w:hint="eastAsia" w:eastAsia="Times New Roman"/>
          <w:sz w:val="20"/>
          <w:szCs w:val="20"/>
          <w:lang w:val="en-GB"/>
        </w:rPr>
      </w:pPr>
      <w:r>
        <w:rPr>
          <w:rFonts w:hint="eastAsia" w:eastAsia="Times New Roman"/>
          <w:sz w:val="20"/>
          <w:szCs w:val="20"/>
          <w:lang w:val="en-GB"/>
        </w:rPr>
        <w:t xml:space="preserve">P1, P2, and P3 are a set of procedures to acquire and maintain a set of TRP(s) and/or UE beams that can be used for DL and UL transmission/reception, which correspond to initial beam selection, transmit beam refinement, and receive beam refinement, respectively. The P2/P3 procedures can be enabled by configuring the high layer parameter </w:t>
      </w:r>
      <w:r>
        <w:rPr>
          <w:rFonts w:hint="eastAsia" w:eastAsia="Times New Roman"/>
          <w:i/>
          <w:iCs/>
          <w:sz w:val="20"/>
          <w:szCs w:val="20"/>
          <w:lang w:val="en-GB"/>
        </w:rPr>
        <w:t>NZP-CSI-RS-ResourceSet -&gt; repetition</w:t>
      </w:r>
      <w:r>
        <w:rPr>
          <w:rFonts w:hint="eastAsia" w:eastAsia="Times New Roman"/>
          <w:sz w:val="20"/>
          <w:szCs w:val="20"/>
          <w:lang w:val="en-GB"/>
        </w:rPr>
        <w:t xml:space="preserve"> to be off/on. However, the P1 procedure is still conceptual and has not been specified in the standard. To facilitate the AI/ML based Tx-Rx beam pair prediction, P1 may needs to be specified clearly in the standard with potentially enhanced beam reporting and indication mechanism. </w:t>
      </w:r>
    </w:p>
    <w:p>
      <w:pPr>
        <w:spacing w:before="72" w:beforeLines="30" w:after="72" w:afterLines="30" w:line="288" w:lineRule="auto"/>
        <w:jc w:val="both"/>
        <w:rPr>
          <w:rFonts w:hint="eastAsia" w:eastAsia="Times New Roman"/>
          <w:sz w:val="20"/>
          <w:szCs w:val="20"/>
          <w:lang w:val="en-GB"/>
        </w:rPr>
      </w:pPr>
      <w:r>
        <w:rPr>
          <w:rFonts w:hint="eastAsia" w:eastAsia="Times New Roman"/>
          <w:sz w:val="20"/>
          <w:szCs w:val="20"/>
          <w:lang w:val="en-GB"/>
        </w:rPr>
        <w:t xml:space="preserve">For the </w:t>
      </w:r>
      <w:r>
        <w:rPr>
          <w:rFonts w:hint="eastAsia"/>
          <w:sz w:val="20"/>
          <w:szCs w:val="20"/>
          <w:lang w:val="en-US" w:eastAsia="zh-CN"/>
        </w:rPr>
        <w:t>NW</w:t>
      </w:r>
      <w:r>
        <w:rPr>
          <w:rFonts w:hint="eastAsia" w:eastAsia="Times New Roman"/>
          <w:sz w:val="20"/>
          <w:szCs w:val="20"/>
          <w:lang w:val="en-GB"/>
        </w:rPr>
        <w:t xml:space="preserve">-side model, in order to collect model input data for beam pair prediction, the </w:t>
      </w:r>
      <w:r>
        <w:rPr>
          <w:rFonts w:hint="eastAsia"/>
          <w:sz w:val="20"/>
          <w:szCs w:val="20"/>
          <w:lang w:val="en-US" w:eastAsia="zh-CN"/>
        </w:rPr>
        <w:t>gNB</w:t>
      </w:r>
      <w:r>
        <w:rPr>
          <w:rFonts w:hint="eastAsia" w:eastAsia="Times New Roman"/>
          <w:sz w:val="20"/>
          <w:szCs w:val="20"/>
          <w:lang w:val="en-GB"/>
        </w:rPr>
        <w:t xml:space="preserve"> needs to accurately know the transmi</w:t>
      </w:r>
      <w:r>
        <w:rPr>
          <w:rFonts w:hint="eastAsia"/>
          <w:sz w:val="20"/>
          <w:szCs w:val="20"/>
          <w:lang w:val="en-US" w:eastAsia="zh-CN"/>
        </w:rPr>
        <w:t>ssion</w:t>
      </w:r>
      <w:r>
        <w:rPr>
          <w:rFonts w:hint="eastAsia" w:eastAsia="Times New Roman"/>
          <w:sz w:val="20"/>
          <w:szCs w:val="20"/>
          <w:lang w:val="en-GB"/>
        </w:rPr>
        <w:t xml:space="preserve"> beam and rece</w:t>
      </w:r>
      <w:r>
        <w:rPr>
          <w:rFonts w:hint="eastAsia"/>
          <w:sz w:val="20"/>
          <w:szCs w:val="20"/>
          <w:lang w:val="en-US" w:eastAsia="zh-CN"/>
        </w:rPr>
        <w:t>ption</w:t>
      </w:r>
      <w:r>
        <w:rPr>
          <w:rFonts w:hint="eastAsia" w:eastAsia="Times New Roman"/>
          <w:sz w:val="20"/>
          <w:szCs w:val="20"/>
          <w:lang w:val="en-GB"/>
        </w:rPr>
        <w:t xml:space="preserve"> beam corresponding to the reported measured RSRP. To this end, the </w:t>
      </w:r>
      <w:r>
        <w:rPr>
          <w:rFonts w:hint="eastAsia"/>
          <w:sz w:val="20"/>
          <w:szCs w:val="20"/>
          <w:lang w:val="en-US" w:eastAsia="zh-CN"/>
        </w:rPr>
        <w:t>gNB</w:t>
      </w:r>
      <w:r>
        <w:rPr>
          <w:rFonts w:hint="eastAsia" w:eastAsia="Times New Roman"/>
          <w:sz w:val="20"/>
          <w:szCs w:val="20"/>
          <w:lang w:val="en-GB"/>
        </w:rPr>
        <w:t xml:space="preserve"> may need to associate each </w:t>
      </w:r>
      <w:r>
        <w:rPr>
          <w:rFonts w:hint="eastAsia"/>
          <w:sz w:val="20"/>
          <w:szCs w:val="20"/>
          <w:lang w:val="en-US" w:eastAsia="zh-CN"/>
        </w:rPr>
        <w:t>RS</w:t>
      </w:r>
      <w:r>
        <w:rPr>
          <w:rFonts w:hint="eastAsia" w:eastAsia="Times New Roman"/>
          <w:sz w:val="20"/>
          <w:szCs w:val="20"/>
          <w:lang w:val="en-GB"/>
        </w:rPr>
        <w:t xml:space="preserve"> resource set or each </w:t>
      </w:r>
      <w:r>
        <w:rPr>
          <w:rFonts w:hint="eastAsia"/>
          <w:sz w:val="20"/>
          <w:szCs w:val="20"/>
          <w:lang w:val="en-US" w:eastAsia="zh-CN"/>
        </w:rPr>
        <w:t>RS</w:t>
      </w:r>
      <w:r>
        <w:rPr>
          <w:rFonts w:hint="eastAsia" w:eastAsia="Times New Roman"/>
          <w:sz w:val="20"/>
          <w:szCs w:val="20"/>
          <w:lang w:val="en-GB"/>
        </w:rPr>
        <w:t xml:space="preserve"> resource used for beam measurement with a specific rece</w:t>
      </w:r>
      <w:r>
        <w:rPr>
          <w:rFonts w:hint="eastAsia"/>
          <w:sz w:val="20"/>
          <w:szCs w:val="20"/>
          <w:lang w:val="en-US" w:eastAsia="zh-CN"/>
        </w:rPr>
        <w:t>ption</w:t>
      </w:r>
      <w:r>
        <w:rPr>
          <w:rFonts w:hint="eastAsia" w:eastAsia="Times New Roman"/>
          <w:sz w:val="20"/>
          <w:szCs w:val="20"/>
          <w:lang w:val="en-GB"/>
        </w:rPr>
        <w:t xml:space="preserve"> beam, which may be explicit</w:t>
      </w:r>
      <w:r>
        <w:rPr>
          <w:rFonts w:hint="eastAsia"/>
          <w:sz w:val="20"/>
          <w:szCs w:val="20"/>
          <w:lang w:val="en-US" w:eastAsia="zh-CN"/>
        </w:rPr>
        <w:t>ly</w:t>
      </w:r>
      <w:r>
        <w:rPr>
          <w:rFonts w:hint="eastAsia" w:eastAsia="Times New Roman"/>
          <w:sz w:val="20"/>
          <w:szCs w:val="20"/>
          <w:lang w:val="en-GB"/>
        </w:rPr>
        <w:t xml:space="preserve"> or implicit</w:t>
      </w:r>
      <w:r>
        <w:rPr>
          <w:rFonts w:hint="eastAsia"/>
          <w:sz w:val="20"/>
          <w:szCs w:val="20"/>
          <w:lang w:val="en-US" w:eastAsia="zh-CN"/>
        </w:rPr>
        <w:t>ly indicated</w:t>
      </w:r>
      <w:r>
        <w:rPr>
          <w:rFonts w:hint="eastAsia" w:eastAsia="Times New Roman"/>
          <w:sz w:val="20"/>
          <w:szCs w:val="20"/>
          <w:lang w:val="en-GB"/>
        </w:rPr>
        <w:t>. At the same time, the UE needs to feed back the relevant receiv</w:t>
      </w:r>
      <w:r>
        <w:rPr>
          <w:rFonts w:hint="eastAsia"/>
          <w:sz w:val="20"/>
          <w:szCs w:val="20"/>
          <w:lang w:val="en-US" w:eastAsia="zh-CN"/>
        </w:rPr>
        <w:t>e</w:t>
      </w:r>
      <w:r>
        <w:rPr>
          <w:rFonts w:hint="eastAsia" w:eastAsia="Times New Roman"/>
          <w:sz w:val="20"/>
          <w:szCs w:val="20"/>
          <w:lang w:val="en-GB"/>
        </w:rPr>
        <w:t xml:space="preserve"> beam information in the beam reporting. However, the receive beam is </w:t>
      </w:r>
      <w:r>
        <w:rPr>
          <w:rFonts w:hint="eastAsia"/>
          <w:sz w:val="20"/>
          <w:szCs w:val="20"/>
          <w:lang w:val="en-US" w:eastAsia="zh-CN"/>
        </w:rPr>
        <w:t>up to</w:t>
      </w:r>
      <w:r>
        <w:rPr>
          <w:rFonts w:hint="eastAsia" w:eastAsia="Times New Roman"/>
          <w:sz w:val="20"/>
          <w:szCs w:val="20"/>
          <w:lang w:val="en-GB"/>
        </w:rPr>
        <w:t xml:space="preserve"> UE implementation, and its indication and reporting may lead to UE</w:t>
      </w:r>
      <w:r>
        <w:rPr>
          <w:rFonts w:hint="eastAsia"/>
          <w:sz w:val="20"/>
          <w:szCs w:val="20"/>
          <w:lang w:val="en-US" w:eastAsia="zh-CN"/>
        </w:rPr>
        <w:t xml:space="preserve"> proprietary</w:t>
      </w:r>
      <w:r>
        <w:rPr>
          <w:rFonts w:hint="eastAsia" w:eastAsia="Times New Roman"/>
          <w:sz w:val="20"/>
          <w:szCs w:val="20"/>
          <w:lang w:val="en-GB"/>
        </w:rPr>
        <w:t xml:space="preserve"> information disclosure issues. </w:t>
      </w:r>
    </w:p>
    <w:p>
      <w:pPr>
        <w:spacing w:before="72" w:beforeLines="30" w:after="72" w:afterLines="30" w:line="288" w:lineRule="auto"/>
        <w:jc w:val="both"/>
        <w:rPr>
          <w:rFonts w:hint="eastAsia" w:eastAsia="Times New Roman"/>
          <w:sz w:val="20"/>
          <w:szCs w:val="20"/>
          <w:lang w:val="en-GB"/>
        </w:rPr>
      </w:pPr>
      <w:r>
        <w:rPr>
          <w:rFonts w:hint="eastAsia" w:eastAsia="Times New Roman"/>
          <w:sz w:val="20"/>
          <w:szCs w:val="20"/>
          <w:lang w:val="en-GB"/>
        </w:rPr>
        <w:t xml:space="preserve">For the UE-side model, in order to collect model input data for beam pair prediction, the </w:t>
      </w:r>
      <w:r>
        <w:rPr>
          <w:rFonts w:hint="eastAsia"/>
          <w:sz w:val="20"/>
          <w:szCs w:val="20"/>
          <w:lang w:val="en-US" w:eastAsia="zh-CN"/>
        </w:rPr>
        <w:t>gNB</w:t>
      </w:r>
      <w:r>
        <w:rPr>
          <w:rFonts w:hint="eastAsia" w:eastAsia="Times New Roman"/>
          <w:sz w:val="20"/>
          <w:szCs w:val="20"/>
          <w:lang w:val="en-GB"/>
        </w:rPr>
        <w:t xml:space="preserve"> may continuously </w:t>
      </w:r>
      <w:r>
        <w:rPr>
          <w:rFonts w:hint="eastAsia"/>
          <w:sz w:val="20"/>
          <w:szCs w:val="20"/>
          <w:lang w:val="en-US" w:eastAsia="zh-CN"/>
        </w:rPr>
        <w:t>transmit RS</w:t>
      </w:r>
      <w:r>
        <w:rPr>
          <w:rFonts w:hint="eastAsia" w:eastAsia="Times New Roman"/>
          <w:sz w:val="20"/>
          <w:szCs w:val="20"/>
          <w:lang w:val="en-GB"/>
        </w:rPr>
        <w:t xml:space="preserve"> resource sets for beam measurement multiple times without configuring the </w:t>
      </w:r>
      <w:r>
        <w:rPr>
          <w:rFonts w:hint="eastAsia" w:eastAsia="Times New Roman"/>
          <w:i/>
          <w:iCs/>
          <w:sz w:val="20"/>
          <w:szCs w:val="20"/>
          <w:lang w:val="en-GB"/>
        </w:rPr>
        <w:t xml:space="preserve">repetition </w:t>
      </w:r>
      <w:r>
        <w:rPr>
          <w:rFonts w:hint="eastAsia" w:eastAsia="Times New Roman"/>
          <w:sz w:val="20"/>
          <w:szCs w:val="20"/>
          <w:lang w:val="en-GB"/>
        </w:rPr>
        <w:t xml:space="preserve">parameter. The UE autonomously selects the receive beam for </w:t>
      </w:r>
      <w:r>
        <w:rPr>
          <w:rFonts w:hint="eastAsia"/>
          <w:sz w:val="20"/>
          <w:szCs w:val="20"/>
          <w:lang w:val="en-US" w:eastAsia="zh-CN"/>
        </w:rPr>
        <w:t xml:space="preserve">measuring </w:t>
      </w:r>
      <w:r>
        <w:rPr>
          <w:rFonts w:hint="eastAsia" w:eastAsia="Times New Roman"/>
          <w:sz w:val="20"/>
          <w:szCs w:val="20"/>
          <w:lang w:val="en-GB"/>
        </w:rPr>
        <w:t xml:space="preserve">each </w:t>
      </w:r>
      <w:r>
        <w:rPr>
          <w:rFonts w:hint="eastAsia"/>
          <w:sz w:val="20"/>
          <w:szCs w:val="20"/>
          <w:lang w:val="en-US" w:eastAsia="zh-CN"/>
        </w:rPr>
        <w:t>RS</w:t>
      </w:r>
      <w:r>
        <w:rPr>
          <w:rFonts w:hint="eastAsia" w:eastAsia="Times New Roman"/>
          <w:sz w:val="20"/>
          <w:szCs w:val="20"/>
          <w:lang w:val="en-GB"/>
        </w:rPr>
        <w:t xml:space="preserve"> resource according to characteristics of the </w:t>
      </w:r>
      <w:r>
        <w:rPr>
          <w:rFonts w:hint="eastAsia"/>
          <w:sz w:val="20"/>
          <w:szCs w:val="20"/>
          <w:lang w:val="en-US" w:eastAsia="zh-CN"/>
        </w:rPr>
        <w:t xml:space="preserve">deployed </w:t>
      </w:r>
      <w:r>
        <w:rPr>
          <w:rFonts w:hint="eastAsia" w:eastAsia="Times New Roman"/>
          <w:sz w:val="20"/>
          <w:szCs w:val="20"/>
          <w:lang w:val="en-GB"/>
        </w:rPr>
        <w:t xml:space="preserve">AI model. Obviously, compared with the beam pair prediction on the network side, the beam pair prediction on the UE side brings less standardization work and does not involve </w:t>
      </w:r>
      <w:r>
        <w:rPr>
          <w:rFonts w:hint="eastAsia"/>
          <w:i/>
          <w:iCs/>
          <w:sz w:val="20"/>
          <w:szCs w:val="20"/>
          <w:lang w:val="en-US" w:eastAsia="zh-CN"/>
        </w:rPr>
        <w:t xml:space="preserve">sensitive </w:t>
      </w:r>
      <w:r>
        <w:rPr>
          <w:rFonts w:hint="eastAsia" w:eastAsia="Times New Roman"/>
          <w:sz w:val="20"/>
          <w:szCs w:val="20"/>
          <w:lang w:val="en-GB"/>
        </w:rPr>
        <w:t>proprietary information disclosure issues.</w:t>
      </w:r>
    </w:p>
    <w:p>
      <w:pPr>
        <w:spacing w:before="72" w:beforeLines="30" w:after="72" w:afterLines="30" w:line="288" w:lineRule="auto"/>
        <w:jc w:val="both"/>
        <w:rPr>
          <w:rFonts w:hint="eastAsia" w:eastAsia="Times New Roman"/>
          <w:sz w:val="20"/>
          <w:szCs w:val="20"/>
          <w:lang w:val="en-GB"/>
        </w:rPr>
      </w:pPr>
      <w:r>
        <w:rPr>
          <w:rFonts w:hint="eastAsia"/>
          <w:b/>
          <w:bCs/>
          <w:i/>
          <w:iCs/>
          <w:sz w:val="20"/>
          <w:szCs w:val="20"/>
          <w:lang w:val="en-US" w:eastAsia="zh-CN"/>
        </w:rPr>
        <w:t>Observation 7</w:t>
      </w:r>
      <w:r>
        <w:rPr>
          <w:rFonts w:hint="eastAsia" w:eastAsia="Times New Roman"/>
          <w:b/>
          <w:bCs/>
          <w:i/>
          <w:iCs/>
          <w:sz w:val="20"/>
          <w:szCs w:val="20"/>
        </w:rPr>
        <w:t>:</w:t>
      </w:r>
      <w:r>
        <w:rPr>
          <w:rFonts w:hint="eastAsia" w:eastAsia="Times New Roman"/>
          <w:i/>
          <w:iCs/>
          <w:sz w:val="20"/>
          <w:szCs w:val="20"/>
        </w:rPr>
        <w:t xml:space="preserve"> </w:t>
      </w:r>
      <w:r>
        <w:rPr>
          <w:rFonts w:hint="eastAsia"/>
          <w:i/>
          <w:iCs/>
          <w:sz w:val="20"/>
          <w:szCs w:val="20"/>
          <w:lang w:val="en-US" w:eastAsia="zh-CN"/>
        </w:rPr>
        <w:t>C</w:t>
      </w:r>
      <w:r>
        <w:rPr>
          <w:rFonts w:hint="eastAsia" w:eastAsia="Times New Roman"/>
          <w:i/>
          <w:iCs/>
          <w:sz w:val="20"/>
          <w:szCs w:val="20"/>
          <w:lang w:val="en-GB"/>
        </w:rPr>
        <w:t xml:space="preserve">ompared with the beam pair prediction on the network side, the beam pair prediction on the UE side brings less standardization work and does not involve </w:t>
      </w:r>
      <w:r>
        <w:rPr>
          <w:rFonts w:hint="eastAsia"/>
          <w:i/>
          <w:iCs/>
          <w:sz w:val="20"/>
          <w:szCs w:val="20"/>
          <w:lang w:val="en-US" w:eastAsia="zh-CN"/>
        </w:rPr>
        <w:t xml:space="preserve">sensitive </w:t>
      </w:r>
      <w:r>
        <w:rPr>
          <w:rFonts w:hint="eastAsia" w:eastAsia="Times New Roman"/>
          <w:i/>
          <w:iCs/>
          <w:sz w:val="20"/>
          <w:szCs w:val="20"/>
          <w:lang w:val="en-GB"/>
        </w:rPr>
        <w:t>proprietary information disclosure issues.</w:t>
      </w:r>
    </w:p>
    <w:p>
      <w:pPr>
        <w:snapToGrid w:val="0"/>
        <w:spacing w:before="72" w:beforeLines="30" w:after="72" w:afterLines="30" w:line="288" w:lineRule="auto"/>
        <w:jc w:val="both"/>
        <w:rPr>
          <w:rFonts w:hint="eastAsia" w:eastAsia="Times New Roman"/>
          <w:i/>
          <w:iCs/>
          <w:sz w:val="20"/>
          <w:szCs w:val="20"/>
          <w:lang w:val="en-GB"/>
        </w:rPr>
      </w:pPr>
      <w:r>
        <w:rPr>
          <w:rFonts w:hint="eastAsia" w:eastAsia="Times New Roman"/>
          <w:b/>
          <w:bCs/>
          <w:i/>
          <w:iCs/>
          <w:sz w:val="20"/>
          <w:szCs w:val="20"/>
        </w:rPr>
        <w:t>Proposal 1</w:t>
      </w:r>
      <w:r>
        <w:rPr>
          <w:rFonts w:hint="eastAsia"/>
          <w:b/>
          <w:bCs/>
          <w:i/>
          <w:iCs/>
          <w:sz w:val="20"/>
          <w:szCs w:val="20"/>
          <w:lang w:val="en-US" w:eastAsia="zh-CN"/>
        </w:rPr>
        <w:t>3</w:t>
      </w:r>
      <w:r>
        <w:rPr>
          <w:rFonts w:hint="eastAsia" w:eastAsia="Times New Roman"/>
          <w:b/>
          <w:bCs/>
          <w:i/>
          <w:iCs/>
          <w:sz w:val="20"/>
          <w:szCs w:val="20"/>
        </w:rPr>
        <w:t>:</w:t>
      </w:r>
      <w:r>
        <w:rPr>
          <w:rFonts w:hint="eastAsia" w:eastAsia="Times New Roman"/>
          <w:i/>
          <w:iCs/>
          <w:sz w:val="20"/>
          <w:szCs w:val="20"/>
        </w:rPr>
        <w:t xml:space="preserve"> </w:t>
      </w:r>
      <w:r>
        <w:rPr>
          <w:rFonts w:hint="eastAsia" w:eastAsia="Times New Roman"/>
          <w:i/>
          <w:iCs/>
          <w:sz w:val="20"/>
          <w:szCs w:val="20"/>
          <w:lang w:val="en-GB"/>
        </w:rPr>
        <w:t xml:space="preserve">To facilitate the AI/ML based Tx-Rx beam pair prediction, </w:t>
      </w:r>
      <w:r>
        <w:rPr>
          <w:rFonts w:hint="eastAsia"/>
          <w:i/>
          <w:iCs/>
          <w:sz w:val="20"/>
          <w:szCs w:val="20"/>
          <w:lang w:val="en-US" w:eastAsia="zh-CN"/>
        </w:rPr>
        <w:t xml:space="preserve">enhancements on specification can be studied to support P1 </w:t>
      </w:r>
      <w:r>
        <w:rPr>
          <w:rFonts w:hint="eastAsia" w:eastAsia="Times New Roman"/>
          <w:i/>
          <w:iCs/>
          <w:sz w:val="20"/>
          <w:szCs w:val="20"/>
          <w:lang w:val="en-GB"/>
        </w:rPr>
        <w:t>with potentially enhanced beam reporting and indication mechanism.</w:t>
      </w:r>
    </w:p>
    <w:p>
      <w:pPr>
        <w:snapToGrid w:val="0"/>
        <w:spacing w:before="72" w:beforeLines="30" w:after="72" w:afterLines="30" w:line="288" w:lineRule="auto"/>
        <w:jc w:val="both"/>
        <w:rPr>
          <w:rFonts w:hint="eastAsia" w:eastAsia="Times New Roman"/>
          <w:b/>
          <w:bCs/>
          <w:sz w:val="20"/>
          <w:szCs w:val="20"/>
          <w:u w:val="single"/>
          <w:lang w:val="en-GB"/>
        </w:rPr>
      </w:pPr>
      <w:r>
        <w:rPr>
          <w:rFonts w:hint="eastAsia" w:eastAsia="Times New Roman"/>
          <w:b/>
          <w:bCs/>
          <w:sz w:val="20"/>
          <w:szCs w:val="20"/>
          <w:u w:val="single"/>
          <w:lang w:val="en-GB"/>
        </w:rPr>
        <w:t>Training data collection</w:t>
      </w:r>
    </w:p>
    <w:p>
      <w:pPr>
        <w:spacing w:before="72" w:beforeLines="30" w:after="72" w:afterLines="30" w:line="288" w:lineRule="auto"/>
        <w:jc w:val="both"/>
        <w:rPr>
          <w:rFonts w:hint="eastAsia" w:eastAsia="Times New Roman"/>
          <w:sz w:val="20"/>
          <w:szCs w:val="20"/>
          <w:lang w:val="en-GB"/>
        </w:rPr>
      </w:pPr>
      <w:r>
        <w:rPr>
          <w:rFonts w:hint="eastAsia" w:eastAsia="Times New Roman"/>
          <w:sz w:val="20"/>
          <w:szCs w:val="20"/>
          <w:lang w:val="en-GB"/>
        </w:rPr>
        <w:t xml:space="preserve">For model fine-tuning/update or detection of AI/ML model performance degradation, AI/ML model providers should be able to initiate model optimization training and request </w:t>
      </w:r>
      <w:r>
        <w:rPr>
          <w:rFonts w:hint="eastAsia"/>
          <w:sz w:val="20"/>
          <w:szCs w:val="20"/>
          <w:lang w:val="en-US" w:eastAsia="zh-CN"/>
        </w:rPr>
        <w:t>UE</w:t>
      </w:r>
      <w:r>
        <w:rPr>
          <w:rFonts w:hint="eastAsia" w:eastAsia="Times New Roman"/>
          <w:sz w:val="20"/>
          <w:szCs w:val="20"/>
          <w:lang w:val="en-GB"/>
        </w:rPr>
        <w:t xml:space="preserve">s to report relevant training data, including model input </w:t>
      </w:r>
      <w:r>
        <w:rPr>
          <w:rFonts w:hint="eastAsia"/>
          <w:sz w:val="20"/>
          <w:szCs w:val="20"/>
          <w:lang w:val="en-US" w:eastAsia="zh-CN"/>
        </w:rPr>
        <w:t xml:space="preserve">data </w:t>
      </w:r>
      <w:r>
        <w:rPr>
          <w:rFonts w:hint="eastAsia" w:eastAsia="Times New Roman"/>
          <w:sz w:val="20"/>
          <w:szCs w:val="20"/>
          <w:lang w:val="en-GB"/>
        </w:rPr>
        <w:t xml:space="preserve">and model output data. For the </w:t>
      </w:r>
      <w:r>
        <w:rPr>
          <w:rFonts w:hint="eastAsia"/>
          <w:sz w:val="20"/>
          <w:szCs w:val="20"/>
          <w:lang w:val="en-US" w:eastAsia="zh-CN"/>
        </w:rPr>
        <w:t>NW</w:t>
      </w:r>
      <w:r>
        <w:rPr>
          <w:rFonts w:hint="eastAsia" w:eastAsia="Times New Roman"/>
          <w:sz w:val="20"/>
          <w:szCs w:val="20"/>
          <w:lang w:val="en-GB"/>
        </w:rPr>
        <w:t xml:space="preserve">-side model, the </w:t>
      </w:r>
      <w:r>
        <w:rPr>
          <w:rFonts w:hint="eastAsia"/>
          <w:sz w:val="20"/>
          <w:szCs w:val="20"/>
          <w:lang w:val="en-US" w:eastAsia="zh-CN"/>
        </w:rPr>
        <w:t>gNB</w:t>
      </w:r>
      <w:r>
        <w:rPr>
          <w:rFonts w:hint="eastAsia" w:eastAsia="Times New Roman"/>
          <w:sz w:val="20"/>
          <w:szCs w:val="20"/>
          <w:lang w:val="en-GB"/>
        </w:rPr>
        <w:t xml:space="preserve"> can configure two </w:t>
      </w:r>
      <w:r>
        <w:rPr>
          <w:rFonts w:hint="eastAsia"/>
          <w:sz w:val="20"/>
          <w:szCs w:val="20"/>
          <w:lang w:val="en-US" w:eastAsia="zh-CN"/>
        </w:rPr>
        <w:t>RS</w:t>
      </w:r>
      <w:r>
        <w:rPr>
          <w:rFonts w:hint="eastAsia" w:eastAsia="Times New Roman"/>
          <w:sz w:val="20"/>
          <w:szCs w:val="20"/>
          <w:lang w:val="en-GB"/>
        </w:rPr>
        <w:t xml:space="preserve"> resource sets for beam measurement to collect the </w:t>
      </w:r>
      <w:r>
        <w:rPr>
          <w:rFonts w:hint="eastAsia"/>
          <w:sz w:val="20"/>
          <w:szCs w:val="20"/>
          <w:lang w:val="en-US" w:eastAsia="zh-CN"/>
        </w:rPr>
        <w:t xml:space="preserve">model </w:t>
      </w:r>
      <w:r>
        <w:rPr>
          <w:rFonts w:hint="eastAsia" w:eastAsia="Times New Roman"/>
          <w:sz w:val="20"/>
          <w:szCs w:val="20"/>
          <w:lang w:val="en-GB"/>
        </w:rPr>
        <w:t xml:space="preserve">input data and </w:t>
      </w:r>
      <w:r>
        <w:rPr>
          <w:rFonts w:hint="eastAsia"/>
          <w:sz w:val="20"/>
          <w:szCs w:val="20"/>
          <w:lang w:val="en-US" w:eastAsia="zh-CN"/>
        </w:rPr>
        <w:t xml:space="preserve">model </w:t>
      </w:r>
      <w:r>
        <w:rPr>
          <w:rFonts w:hint="eastAsia" w:eastAsia="Times New Roman"/>
          <w:sz w:val="20"/>
          <w:szCs w:val="20"/>
          <w:lang w:val="en-GB"/>
        </w:rPr>
        <w:t>output data</w:t>
      </w:r>
      <w:r>
        <w:rPr>
          <w:rFonts w:hint="eastAsia"/>
          <w:sz w:val="20"/>
          <w:szCs w:val="20"/>
          <w:lang w:val="en-US" w:eastAsia="zh-CN"/>
        </w:rPr>
        <w:t>,</w:t>
      </w:r>
      <w:r>
        <w:rPr>
          <w:rFonts w:hint="eastAsia" w:eastAsia="Times New Roman"/>
          <w:sz w:val="20"/>
          <w:szCs w:val="20"/>
          <w:lang w:val="en-GB"/>
        </w:rPr>
        <w:t xml:space="preserve"> respectively. The specific number of report</w:t>
      </w:r>
      <w:r>
        <w:rPr>
          <w:rFonts w:hint="eastAsia"/>
          <w:sz w:val="20"/>
          <w:szCs w:val="20"/>
          <w:lang w:val="en-US" w:eastAsia="zh-CN"/>
        </w:rPr>
        <w:t>ed</w:t>
      </w:r>
      <w:r>
        <w:rPr>
          <w:rFonts w:hint="eastAsia" w:eastAsia="Times New Roman"/>
          <w:sz w:val="20"/>
          <w:szCs w:val="20"/>
          <w:lang w:val="en-GB"/>
        </w:rPr>
        <w:t xml:space="preserve"> beams and report</w:t>
      </w:r>
      <w:r>
        <w:rPr>
          <w:rFonts w:hint="eastAsia"/>
          <w:sz w:val="20"/>
          <w:szCs w:val="20"/>
          <w:lang w:val="en-US" w:eastAsia="zh-CN"/>
        </w:rPr>
        <w:t>ed</w:t>
      </w:r>
      <w:r>
        <w:rPr>
          <w:rFonts w:hint="eastAsia" w:eastAsia="Times New Roman"/>
          <w:sz w:val="20"/>
          <w:szCs w:val="20"/>
          <w:lang w:val="en-GB"/>
        </w:rPr>
        <w:t xml:space="preserve"> </w:t>
      </w:r>
      <w:r>
        <w:rPr>
          <w:rFonts w:hint="eastAsia"/>
          <w:sz w:val="20"/>
          <w:szCs w:val="20"/>
          <w:lang w:val="en-US" w:eastAsia="zh-CN"/>
        </w:rPr>
        <w:t xml:space="preserve">quantity </w:t>
      </w:r>
      <w:r>
        <w:rPr>
          <w:rFonts w:hint="eastAsia" w:eastAsia="Times New Roman"/>
          <w:sz w:val="20"/>
          <w:szCs w:val="20"/>
          <w:lang w:val="en-GB"/>
        </w:rPr>
        <w:t xml:space="preserve">can be </w:t>
      </w:r>
      <w:r>
        <w:rPr>
          <w:rFonts w:hint="eastAsia"/>
          <w:sz w:val="20"/>
          <w:szCs w:val="20"/>
          <w:lang w:val="en-US" w:eastAsia="zh-CN"/>
        </w:rPr>
        <w:t xml:space="preserve">configured </w:t>
      </w:r>
      <w:r>
        <w:rPr>
          <w:rFonts w:hint="eastAsia" w:eastAsia="Times New Roman"/>
          <w:sz w:val="20"/>
          <w:szCs w:val="20"/>
          <w:lang w:val="en-GB"/>
        </w:rPr>
        <w:t xml:space="preserve">by </w:t>
      </w:r>
      <w:r>
        <w:rPr>
          <w:rFonts w:hint="eastAsia"/>
          <w:sz w:val="20"/>
          <w:szCs w:val="20"/>
          <w:lang w:val="en-US" w:eastAsia="zh-CN"/>
        </w:rPr>
        <w:t xml:space="preserve">the </w:t>
      </w:r>
      <w:r>
        <w:rPr>
          <w:rFonts w:hint="eastAsia" w:eastAsia="Times New Roman"/>
          <w:sz w:val="20"/>
          <w:szCs w:val="20"/>
          <w:lang w:val="en-GB"/>
        </w:rPr>
        <w:t>high</w:t>
      </w:r>
      <w:r>
        <w:rPr>
          <w:rFonts w:hint="eastAsia"/>
          <w:sz w:val="20"/>
          <w:szCs w:val="20"/>
          <w:lang w:val="en-US" w:eastAsia="zh-CN"/>
        </w:rPr>
        <w:t xml:space="preserve"> layer</w:t>
      </w:r>
      <w:r>
        <w:rPr>
          <w:rFonts w:hint="eastAsia" w:eastAsia="Times New Roman"/>
          <w:sz w:val="20"/>
          <w:szCs w:val="20"/>
          <w:lang w:val="en-GB"/>
        </w:rPr>
        <w:t xml:space="preserve"> parameters </w:t>
      </w:r>
      <w:r>
        <w:rPr>
          <w:rFonts w:hint="eastAsia" w:eastAsia="Times New Roman"/>
          <w:i/>
          <w:iCs/>
          <w:sz w:val="20"/>
          <w:szCs w:val="20"/>
          <w:lang w:val="en-GB"/>
        </w:rPr>
        <w:t xml:space="preserve">nrofReportedRS </w:t>
      </w:r>
      <w:r>
        <w:rPr>
          <w:rFonts w:hint="eastAsia" w:eastAsia="Times New Roman"/>
          <w:sz w:val="20"/>
          <w:szCs w:val="20"/>
          <w:lang w:val="en-GB"/>
        </w:rPr>
        <w:t xml:space="preserve">and </w:t>
      </w:r>
      <w:r>
        <w:rPr>
          <w:rFonts w:hint="eastAsia" w:eastAsia="Times New Roman"/>
          <w:i/>
          <w:iCs/>
          <w:sz w:val="20"/>
          <w:szCs w:val="20"/>
          <w:lang w:val="en-GB"/>
        </w:rPr>
        <w:t>reportquantity</w:t>
      </w:r>
      <w:r>
        <w:rPr>
          <w:rFonts w:hint="eastAsia" w:eastAsia="Times New Roman"/>
          <w:sz w:val="20"/>
          <w:szCs w:val="20"/>
          <w:lang w:val="en-GB"/>
        </w:rPr>
        <w:t xml:space="preserve">. Alternatively, the </w:t>
      </w:r>
      <w:r>
        <w:rPr>
          <w:rFonts w:hint="eastAsia"/>
          <w:sz w:val="20"/>
          <w:szCs w:val="20"/>
          <w:lang w:val="en-US" w:eastAsia="zh-CN"/>
        </w:rPr>
        <w:t>gNB</w:t>
      </w:r>
      <w:r>
        <w:rPr>
          <w:rFonts w:hint="eastAsia" w:eastAsia="Times New Roman"/>
          <w:sz w:val="20"/>
          <w:szCs w:val="20"/>
          <w:lang w:val="en-GB"/>
        </w:rPr>
        <w:t xml:space="preserve"> can configure only one </w:t>
      </w:r>
      <w:r>
        <w:rPr>
          <w:rFonts w:hint="eastAsia"/>
          <w:sz w:val="20"/>
          <w:szCs w:val="20"/>
          <w:lang w:val="en-US" w:eastAsia="zh-CN"/>
        </w:rPr>
        <w:t>RS</w:t>
      </w:r>
      <w:r>
        <w:rPr>
          <w:rFonts w:hint="eastAsia" w:eastAsia="Times New Roman"/>
          <w:sz w:val="20"/>
          <w:szCs w:val="20"/>
          <w:lang w:val="en-GB"/>
        </w:rPr>
        <w:t xml:space="preserve"> resource set for beam measurement to collect the </w:t>
      </w:r>
      <w:r>
        <w:rPr>
          <w:rFonts w:hint="eastAsia"/>
          <w:sz w:val="20"/>
          <w:szCs w:val="20"/>
          <w:lang w:val="en-US" w:eastAsia="zh-CN"/>
        </w:rPr>
        <w:t xml:space="preserve">model </w:t>
      </w:r>
      <w:r>
        <w:rPr>
          <w:rFonts w:hint="eastAsia" w:eastAsia="Times New Roman"/>
          <w:sz w:val="20"/>
          <w:szCs w:val="20"/>
          <w:lang w:val="en-GB"/>
        </w:rPr>
        <w:t xml:space="preserve">input data and </w:t>
      </w:r>
      <w:r>
        <w:rPr>
          <w:rFonts w:hint="eastAsia"/>
          <w:sz w:val="20"/>
          <w:szCs w:val="20"/>
          <w:lang w:val="en-US" w:eastAsia="zh-CN"/>
        </w:rPr>
        <w:t xml:space="preserve">model </w:t>
      </w:r>
      <w:r>
        <w:rPr>
          <w:rFonts w:hint="eastAsia" w:eastAsia="Times New Roman"/>
          <w:sz w:val="20"/>
          <w:szCs w:val="20"/>
          <w:lang w:val="en-GB"/>
        </w:rPr>
        <w:t xml:space="preserve">output data at the same time. </w:t>
      </w:r>
      <w:r>
        <w:rPr>
          <w:rFonts w:hint="eastAsia"/>
          <w:sz w:val="20"/>
          <w:szCs w:val="20"/>
          <w:lang w:val="en-US" w:eastAsia="zh-CN"/>
        </w:rPr>
        <w:t xml:space="preserve">In this case, the gNB </w:t>
      </w:r>
      <w:r>
        <w:rPr>
          <w:rFonts w:hint="eastAsia" w:eastAsia="Times New Roman"/>
          <w:sz w:val="20"/>
          <w:szCs w:val="20"/>
          <w:lang w:val="en-GB"/>
        </w:rPr>
        <w:t>need</w:t>
      </w:r>
      <w:r>
        <w:rPr>
          <w:rFonts w:hint="eastAsia"/>
          <w:sz w:val="20"/>
          <w:szCs w:val="20"/>
          <w:lang w:val="en-US" w:eastAsia="zh-CN"/>
        </w:rPr>
        <w:t>s</w:t>
      </w:r>
      <w:r>
        <w:rPr>
          <w:rFonts w:hint="eastAsia" w:eastAsia="Times New Roman"/>
          <w:sz w:val="20"/>
          <w:szCs w:val="20"/>
          <w:lang w:val="en-GB"/>
        </w:rPr>
        <w:t xml:space="preserve"> to provide additional indication information to instruct the UE to report measurement result</w:t>
      </w:r>
      <w:r>
        <w:rPr>
          <w:rFonts w:hint="eastAsia"/>
          <w:sz w:val="20"/>
          <w:szCs w:val="20"/>
          <w:lang w:val="en-US" w:eastAsia="zh-CN"/>
        </w:rPr>
        <w:t>s</w:t>
      </w:r>
      <w:r>
        <w:rPr>
          <w:rFonts w:hint="eastAsia" w:eastAsia="Times New Roman"/>
          <w:sz w:val="20"/>
          <w:szCs w:val="20"/>
          <w:lang w:val="en-GB"/>
        </w:rPr>
        <w:t xml:space="preserve"> of specific </w:t>
      </w:r>
      <w:r>
        <w:rPr>
          <w:rFonts w:hint="eastAsia"/>
          <w:sz w:val="20"/>
          <w:szCs w:val="20"/>
          <w:lang w:val="en-US" w:eastAsia="zh-CN"/>
        </w:rPr>
        <w:t>beams</w:t>
      </w:r>
      <w:r>
        <w:rPr>
          <w:rFonts w:hint="eastAsia" w:eastAsia="Times New Roman"/>
          <w:sz w:val="20"/>
          <w:szCs w:val="20"/>
          <w:lang w:val="en-GB"/>
        </w:rPr>
        <w:t xml:space="preserve">, so as to use </w:t>
      </w:r>
      <w:r>
        <w:rPr>
          <w:rFonts w:hint="eastAsia"/>
          <w:sz w:val="20"/>
          <w:szCs w:val="20"/>
          <w:lang w:val="en-US" w:eastAsia="zh-CN"/>
        </w:rPr>
        <w:t xml:space="preserve">them </w:t>
      </w:r>
      <w:r>
        <w:rPr>
          <w:rFonts w:hint="eastAsia" w:eastAsia="Times New Roman"/>
          <w:sz w:val="20"/>
          <w:szCs w:val="20"/>
          <w:lang w:val="en-GB"/>
        </w:rPr>
        <w:t xml:space="preserve">as </w:t>
      </w:r>
      <w:r>
        <w:rPr>
          <w:rFonts w:hint="eastAsia"/>
          <w:sz w:val="20"/>
          <w:szCs w:val="20"/>
          <w:lang w:val="en-US" w:eastAsia="zh-CN"/>
        </w:rPr>
        <w:t>the</w:t>
      </w:r>
      <w:r>
        <w:rPr>
          <w:rFonts w:hint="eastAsia" w:eastAsia="Times New Roman"/>
          <w:sz w:val="20"/>
          <w:szCs w:val="20"/>
          <w:lang w:val="en-GB"/>
        </w:rPr>
        <w:t xml:space="preserve"> model input.</w:t>
      </w:r>
      <w:r>
        <w:rPr>
          <w:rFonts w:hint="eastAsia"/>
          <w:sz w:val="20"/>
          <w:szCs w:val="20"/>
          <w:lang w:val="en-US" w:eastAsia="zh-CN"/>
        </w:rPr>
        <w:t xml:space="preserve"> </w:t>
      </w:r>
      <w:r>
        <w:rPr>
          <w:rFonts w:hint="eastAsia" w:eastAsia="Times New Roman"/>
          <w:sz w:val="20"/>
          <w:szCs w:val="20"/>
          <w:lang w:val="en-GB"/>
        </w:rPr>
        <w:t xml:space="preserve">For the UE-side model, the UE can collect training data by triggering the transmission of relevant </w:t>
      </w:r>
      <w:r>
        <w:rPr>
          <w:rFonts w:hint="eastAsia"/>
          <w:sz w:val="20"/>
          <w:szCs w:val="20"/>
          <w:lang w:val="en-US" w:eastAsia="zh-CN"/>
        </w:rPr>
        <w:t xml:space="preserve">RS </w:t>
      </w:r>
      <w:r>
        <w:rPr>
          <w:rFonts w:hint="eastAsia" w:eastAsia="Times New Roman"/>
          <w:sz w:val="20"/>
          <w:szCs w:val="20"/>
          <w:lang w:val="en-GB"/>
        </w:rPr>
        <w:t xml:space="preserve">resource sets. </w:t>
      </w:r>
      <w:r>
        <w:rPr>
          <w:rFonts w:hint="eastAsia"/>
          <w:sz w:val="20"/>
          <w:szCs w:val="20"/>
          <w:lang w:val="en-US" w:eastAsia="zh-CN"/>
        </w:rPr>
        <w:t>Besides</w:t>
      </w:r>
      <w:r>
        <w:rPr>
          <w:rFonts w:hint="eastAsia" w:eastAsia="Times New Roman"/>
          <w:sz w:val="20"/>
          <w:szCs w:val="20"/>
          <w:lang w:val="en-GB"/>
        </w:rPr>
        <w:t xml:space="preserve">, the UE may need to send additional </w:t>
      </w:r>
      <w:r>
        <w:rPr>
          <w:rFonts w:hint="eastAsia"/>
          <w:sz w:val="20"/>
          <w:szCs w:val="20"/>
          <w:lang w:val="en-US" w:eastAsia="zh-CN"/>
        </w:rPr>
        <w:t xml:space="preserve">assistance </w:t>
      </w:r>
      <w:r>
        <w:rPr>
          <w:rFonts w:hint="eastAsia" w:eastAsia="Times New Roman"/>
          <w:sz w:val="20"/>
          <w:szCs w:val="20"/>
          <w:lang w:val="en-GB"/>
        </w:rPr>
        <w:t xml:space="preserve">information to the </w:t>
      </w:r>
      <w:r>
        <w:rPr>
          <w:rFonts w:hint="eastAsia"/>
          <w:sz w:val="20"/>
          <w:szCs w:val="20"/>
          <w:lang w:val="en-US" w:eastAsia="zh-CN"/>
        </w:rPr>
        <w:t>gNB</w:t>
      </w:r>
      <w:r>
        <w:rPr>
          <w:rFonts w:hint="eastAsia" w:eastAsia="Times New Roman"/>
          <w:sz w:val="20"/>
          <w:szCs w:val="20"/>
          <w:lang w:val="en-GB"/>
        </w:rPr>
        <w:t xml:space="preserve">, including the number of </w:t>
      </w:r>
      <w:r>
        <w:rPr>
          <w:rFonts w:hint="eastAsia"/>
          <w:sz w:val="20"/>
          <w:szCs w:val="20"/>
          <w:lang w:val="en-US" w:eastAsia="zh-CN"/>
        </w:rPr>
        <w:t>RS</w:t>
      </w:r>
      <w:r>
        <w:rPr>
          <w:rFonts w:hint="eastAsia" w:eastAsia="Times New Roman"/>
          <w:sz w:val="20"/>
          <w:szCs w:val="20"/>
          <w:lang w:val="en-GB"/>
        </w:rPr>
        <w:t xml:space="preserve"> resources </w:t>
      </w:r>
      <w:r>
        <w:rPr>
          <w:rFonts w:hint="eastAsia"/>
          <w:sz w:val="20"/>
          <w:szCs w:val="20"/>
          <w:lang w:val="en-US" w:eastAsia="zh-CN"/>
        </w:rPr>
        <w:t xml:space="preserve">or specific beams </w:t>
      </w:r>
      <w:r>
        <w:rPr>
          <w:rFonts w:hint="eastAsia" w:eastAsia="Times New Roman"/>
          <w:sz w:val="20"/>
          <w:szCs w:val="20"/>
          <w:lang w:val="en-GB"/>
        </w:rPr>
        <w:t>required for training data collection. Therefore, further research</w:t>
      </w:r>
      <w:r>
        <w:rPr>
          <w:rFonts w:hint="eastAsia"/>
          <w:sz w:val="20"/>
          <w:szCs w:val="20"/>
          <w:lang w:val="en-US" w:eastAsia="zh-CN"/>
        </w:rPr>
        <w:t xml:space="preserve"> </w:t>
      </w:r>
      <w:r>
        <w:rPr>
          <w:rFonts w:hint="eastAsia" w:eastAsia="Times New Roman"/>
          <w:sz w:val="20"/>
          <w:szCs w:val="20"/>
          <w:lang w:val="en-GB"/>
        </w:rPr>
        <w:t xml:space="preserve">on enhanced signaling mechanisms and auxiliary information transmission </w:t>
      </w:r>
      <w:r>
        <w:rPr>
          <w:rFonts w:hint="eastAsia"/>
          <w:sz w:val="20"/>
          <w:szCs w:val="20"/>
          <w:lang w:val="en-US" w:eastAsia="zh-CN"/>
        </w:rPr>
        <w:t xml:space="preserve">is needed </w:t>
      </w:r>
      <w:r>
        <w:rPr>
          <w:rFonts w:hint="eastAsia" w:eastAsia="Times New Roman"/>
          <w:sz w:val="20"/>
          <w:szCs w:val="20"/>
          <w:lang w:val="en-GB"/>
        </w:rPr>
        <w:t>to enable training data collection.</w:t>
      </w:r>
    </w:p>
    <w:p>
      <w:pPr>
        <w:spacing w:before="72" w:beforeLines="30" w:after="72" w:afterLines="30" w:line="288" w:lineRule="auto"/>
        <w:jc w:val="both"/>
        <w:rPr>
          <w:rFonts w:hint="eastAsia" w:eastAsia="Times New Roman"/>
          <w:i/>
          <w:iCs/>
          <w:sz w:val="20"/>
          <w:szCs w:val="20"/>
          <w:lang w:val="en-GB"/>
        </w:rPr>
      </w:pPr>
      <w:r>
        <w:rPr>
          <w:rFonts w:hint="eastAsia" w:eastAsia="Times New Roman"/>
          <w:b/>
          <w:bCs/>
          <w:i/>
          <w:iCs/>
          <w:sz w:val="20"/>
          <w:szCs w:val="20"/>
        </w:rPr>
        <w:t>Proposal 1</w:t>
      </w:r>
      <w:r>
        <w:rPr>
          <w:rFonts w:hint="eastAsia"/>
          <w:b/>
          <w:bCs/>
          <w:i/>
          <w:iCs/>
          <w:sz w:val="20"/>
          <w:szCs w:val="20"/>
          <w:lang w:val="en-US" w:eastAsia="zh-CN"/>
        </w:rPr>
        <w:t>4</w:t>
      </w:r>
      <w:r>
        <w:rPr>
          <w:rFonts w:hint="eastAsia" w:eastAsia="Times New Roman"/>
          <w:b/>
          <w:bCs/>
          <w:i/>
          <w:iCs/>
          <w:sz w:val="20"/>
          <w:szCs w:val="20"/>
        </w:rPr>
        <w:t>:</w:t>
      </w:r>
      <w:r>
        <w:rPr>
          <w:rFonts w:hint="eastAsia" w:eastAsia="Times New Roman"/>
          <w:i/>
          <w:iCs/>
          <w:sz w:val="20"/>
          <w:szCs w:val="20"/>
        </w:rPr>
        <w:t xml:space="preserve"> </w:t>
      </w:r>
      <w:r>
        <w:rPr>
          <w:rFonts w:hint="eastAsia"/>
          <w:i/>
          <w:iCs/>
          <w:sz w:val="20"/>
          <w:szCs w:val="20"/>
          <w:lang w:val="en-US" w:eastAsia="zh-CN"/>
        </w:rPr>
        <w:t>F</w:t>
      </w:r>
      <w:r>
        <w:rPr>
          <w:rFonts w:hint="eastAsia" w:eastAsia="Times New Roman"/>
          <w:i/>
          <w:iCs/>
          <w:sz w:val="20"/>
          <w:szCs w:val="20"/>
          <w:lang w:val="en-GB"/>
        </w:rPr>
        <w:t>urther research</w:t>
      </w:r>
      <w:r>
        <w:rPr>
          <w:rFonts w:hint="eastAsia" w:eastAsia="Times New Roman"/>
          <w:i/>
          <w:iCs/>
          <w:sz w:val="20"/>
          <w:szCs w:val="20"/>
          <w:lang w:val="en-US" w:eastAsia="zh-CN"/>
        </w:rPr>
        <w:t xml:space="preserve"> </w:t>
      </w:r>
      <w:r>
        <w:rPr>
          <w:rFonts w:hint="eastAsia" w:eastAsia="Times New Roman"/>
          <w:i/>
          <w:iCs/>
          <w:sz w:val="20"/>
          <w:szCs w:val="20"/>
          <w:lang w:val="en-GB"/>
        </w:rPr>
        <w:t xml:space="preserve">on enhanced signaling mechanisms and auxiliary information transmission </w:t>
      </w:r>
      <w:r>
        <w:rPr>
          <w:rFonts w:hint="eastAsia" w:eastAsia="Times New Roman"/>
          <w:i/>
          <w:iCs/>
          <w:sz w:val="20"/>
          <w:szCs w:val="20"/>
          <w:lang w:val="en-US" w:eastAsia="zh-CN"/>
        </w:rPr>
        <w:t xml:space="preserve">is needed </w:t>
      </w:r>
      <w:r>
        <w:rPr>
          <w:rFonts w:hint="eastAsia" w:eastAsia="Times New Roman"/>
          <w:i/>
          <w:iCs/>
          <w:sz w:val="20"/>
          <w:szCs w:val="20"/>
          <w:lang w:val="en-GB"/>
        </w:rPr>
        <w:t>to enable training data collection.</w:t>
      </w:r>
    </w:p>
    <w:p>
      <w:pPr>
        <w:snapToGrid w:val="0"/>
        <w:spacing w:before="72" w:beforeLines="30" w:after="72" w:afterLines="30" w:line="288" w:lineRule="auto"/>
        <w:jc w:val="both"/>
        <w:rPr>
          <w:rFonts w:hint="eastAsia" w:eastAsia="Times New Roman"/>
          <w:b/>
          <w:bCs/>
          <w:sz w:val="20"/>
          <w:szCs w:val="20"/>
          <w:u w:val="single"/>
          <w:lang w:val="en-GB"/>
        </w:rPr>
      </w:pPr>
      <w:r>
        <w:rPr>
          <w:rFonts w:hint="eastAsia" w:eastAsia="Times New Roman"/>
          <w:b/>
          <w:bCs/>
          <w:sz w:val="20"/>
          <w:szCs w:val="20"/>
          <w:u w:val="single"/>
          <w:lang w:val="en-GB"/>
        </w:rPr>
        <w:t>Model monitoring</w:t>
      </w:r>
    </w:p>
    <w:p>
      <w:pPr>
        <w:spacing w:before="72" w:beforeLines="30" w:after="72" w:afterLines="30" w:line="288" w:lineRule="auto"/>
        <w:jc w:val="both"/>
        <w:rPr>
          <w:rFonts w:hint="eastAsia" w:eastAsia="Times New Roman"/>
          <w:sz w:val="20"/>
          <w:szCs w:val="20"/>
        </w:rPr>
      </w:pPr>
      <w:r>
        <w:rPr>
          <w:rFonts w:hint="eastAsia" w:eastAsia="Times New Roman"/>
          <w:sz w:val="20"/>
          <w:szCs w:val="20"/>
          <w:lang w:val="en-GB"/>
        </w:rPr>
        <w:t xml:space="preserve">Limited by generalization </w:t>
      </w:r>
      <w:r>
        <w:rPr>
          <w:rFonts w:hint="eastAsia"/>
          <w:sz w:val="20"/>
          <w:szCs w:val="20"/>
          <w:lang w:val="en-US" w:eastAsia="zh-CN"/>
        </w:rPr>
        <w:t xml:space="preserve">capability </w:t>
      </w:r>
      <w:r>
        <w:rPr>
          <w:rFonts w:hint="eastAsia" w:eastAsia="Times New Roman"/>
          <w:sz w:val="20"/>
          <w:szCs w:val="20"/>
          <w:lang w:val="en-GB"/>
        </w:rPr>
        <w:t xml:space="preserve">of the deployed AI model, </w:t>
      </w:r>
      <w:r>
        <w:rPr>
          <w:rFonts w:hint="eastAsia" w:eastAsia="Times New Roman"/>
          <w:sz w:val="20"/>
          <w:szCs w:val="20"/>
        </w:rPr>
        <w:t xml:space="preserve">the </w:t>
      </w:r>
      <w:r>
        <w:rPr>
          <w:rFonts w:hint="eastAsia"/>
          <w:sz w:val="20"/>
          <w:szCs w:val="20"/>
          <w:lang w:val="en-US" w:eastAsia="zh-CN"/>
        </w:rPr>
        <w:t xml:space="preserve">beam prediction </w:t>
      </w:r>
      <w:r>
        <w:rPr>
          <w:rFonts w:hint="eastAsia" w:eastAsia="Times New Roman"/>
          <w:sz w:val="20"/>
          <w:szCs w:val="20"/>
        </w:rPr>
        <w:t>performance</w:t>
      </w:r>
      <w:r>
        <w:rPr>
          <w:rFonts w:hint="eastAsia"/>
          <w:sz w:val="20"/>
          <w:szCs w:val="20"/>
          <w:lang w:val="en-US" w:eastAsia="zh-CN"/>
        </w:rPr>
        <w:t xml:space="preserve"> </w:t>
      </w:r>
      <w:r>
        <w:rPr>
          <w:rFonts w:hint="eastAsia" w:eastAsia="Times New Roman"/>
          <w:sz w:val="20"/>
          <w:szCs w:val="20"/>
        </w:rPr>
        <w:t>may be significantly degraded</w:t>
      </w:r>
      <w:r>
        <w:rPr>
          <w:rFonts w:hint="eastAsia"/>
          <w:sz w:val="20"/>
          <w:szCs w:val="20"/>
          <w:lang w:val="en-US" w:eastAsia="zh-CN"/>
        </w:rPr>
        <w:t xml:space="preserve"> if the </w:t>
      </w:r>
      <w:r>
        <w:rPr>
          <w:rFonts w:hint="eastAsia" w:eastAsia="Times New Roman"/>
          <w:sz w:val="20"/>
          <w:szCs w:val="20"/>
        </w:rPr>
        <w:t>UE mobile behavior or propagation environment</w:t>
      </w:r>
      <w:r>
        <w:rPr>
          <w:rFonts w:hint="eastAsia"/>
          <w:sz w:val="20"/>
          <w:szCs w:val="20"/>
          <w:lang w:val="en-US" w:eastAsia="zh-CN"/>
        </w:rPr>
        <w:t xml:space="preserve"> changes</w:t>
      </w:r>
      <w:r>
        <w:rPr>
          <w:rFonts w:hint="eastAsia" w:eastAsia="Times New Roman"/>
          <w:sz w:val="20"/>
          <w:szCs w:val="20"/>
        </w:rPr>
        <w:t xml:space="preserve">. Therefore, model monitoring is essential for performance assurance, i.e. the </w:t>
      </w:r>
      <w:r>
        <w:rPr>
          <w:rFonts w:hint="eastAsia"/>
          <w:sz w:val="20"/>
          <w:szCs w:val="20"/>
          <w:lang w:val="en-US" w:eastAsia="zh-CN"/>
        </w:rPr>
        <w:t>gNB</w:t>
      </w:r>
      <w:r>
        <w:rPr>
          <w:rFonts w:hint="eastAsia" w:eastAsia="Times New Roman"/>
          <w:sz w:val="20"/>
          <w:szCs w:val="20"/>
        </w:rPr>
        <w:t xml:space="preserve"> or UE needs to regularly evaluate the reliability of the deployed AI/ML models. A feasible approach is to periodically transmit or activate </w:t>
      </w:r>
      <w:r>
        <w:rPr>
          <w:rFonts w:eastAsia="Times New Roman"/>
          <w:sz w:val="20"/>
          <w:szCs w:val="20"/>
        </w:rPr>
        <w:t xml:space="preserve">a resource set consisting of a set of CSI-RS or alternatively SS blocks </w:t>
      </w:r>
      <w:r>
        <w:rPr>
          <w:rFonts w:hint="eastAsia" w:eastAsia="Times New Roman"/>
          <w:sz w:val="20"/>
          <w:szCs w:val="20"/>
        </w:rPr>
        <w:t xml:space="preserve">that </w:t>
      </w:r>
      <w:r>
        <w:rPr>
          <w:rFonts w:eastAsia="Times New Roman"/>
          <w:sz w:val="20"/>
          <w:szCs w:val="20"/>
        </w:rPr>
        <w:t>correspond</w:t>
      </w:r>
      <w:r>
        <w:rPr>
          <w:rFonts w:hint="eastAsia" w:eastAsia="Times New Roman"/>
          <w:sz w:val="20"/>
          <w:szCs w:val="20"/>
        </w:rPr>
        <w:t xml:space="preserve"> </w:t>
      </w:r>
      <w:r>
        <w:rPr>
          <w:rFonts w:eastAsia="Times New Roman"/>
          <w:sz w:val="20"/>
          <w:szCs w:val="20"/>
        </w:rPr>
        <w:t>to different downlink beams at the whole beam space</w:t>
      </w:r>
      <w:r>
        <w:rPr>
          <w:rFonts w:hint="eastAsia" w:eastAsia="Times New Roman"/>
          <w:sz w:val="20"/>
          <w:szCs w:val="20"/>
        </w:rPr>
        <w:t xml:space="preserve">. By adopting the traditional exhaustive beam search method, the realistic optimal beam is obtained and compared with the predicted beam obtained by AI inference. If the AI inference fails, or the error probability of the AI inference exceeds a certain threshold during multiple model monitoring, the </w:t>
      </w:r>
      <w:r>
        <w:rPr>
          <w:rFonts w:hint="eastAsia"/>
          <w:sz w:val="20"/>
          <w:szCs w:val="20"/>
          <w:lang w:val="en-US" w:eastAsia="zh-CN"/>
        </w:rPr>
        <w:t>gNB</w:t>
      </w:r>
      <w:r>
        <w:rPr>
          <w:rFonts w:hint="eastAsia" w:eastAsia="Times New Roman"/>
          <w:sz w:val="20"/>
          <w:szCs w:val="20"/>
        </w:rPr>
        <w:t xml:space="preserve"> or UE should update the model parameters or fallback to the traditional beam management methods.</w:t>
      </w:r>
    </w:p>
    <w:p>
      <w:pPr>
        <w:spacing w:before="72" w:beforeLines="30" w:after="72" w:afterLines="30" w:line="288" w:lineRule="auto"/>
        <w:jc w:val="both"/>
        <w:rPr>
          <w:rFonts w:hint="eastAsia" w:eastAsia="Times New Roman"/>
          <w:sz w:val="20"/>
          <w:szCs w:val="20"/>
          <w:lang w:val="en-GB"/>
        </w:rPr>
      </w:pPr>
      <w:r>
        <w:rPr>
          <w:rFonts w:hint="eastAsia" w:eastAsia="Times New Roman"/>
          <w:sz w:val="20"/>
          <w:szCs w:val="20"/>
          <w:lang w:val="en-GB"/>
        </w:rPr>
        <w:t xml:space="preserve">The model monitoring method is directly related to the deployment node of the AI model. More specifically, for the </w:t>
      </w:r>
      <w:r>
        <w:rPr>
          <w:rFonts w:hint="eastAsia"/>
          <w:sz w:val="20"/>
          <w:szCs w:val="20"/>
          <w:lang w:val="en-US" w:eastAsia="zh-CN"/>
        </w:rPr>
        <w:t>NW-</w:t>
      </w:r>
      <w:r>
        <w:rPr>
          <w:rFonts w:hint="eastAsia" w:eastAsia="Times New Roman"/>
          <w:sz w:val="20"/>
          <w:szCs w:val="20"/>
          <w:lang w:val="en-GB"/>
        </w:rPr>
        <w:t xml:space="preserve">side model, the </w:t>
      </w:r>
      <w:r>
        <w:rPr>
          <w:rFonts w:hint="eastAsia"/>
          <w:sz w:val="20"/>
          <w:szCs w:val="20"/>
          <w:lang w:val="en-US" w:eastAsia="zh-CN"/>
        </w:rPr>
        <w:t>gNB</w:t>
      </w:r>
      <w:r>
        <w:rPr>
          <w:rFonts w:hint="eastAsia" w:eastAsia="Times New Roman"/>
          <w:sz w:val="20"/>
          <w:szCs w:val="20"/>
          <w:lang w:val="en-GB"/>
        </w:rPr>
        <w:t xml:space="preserve"> can compare the optimal beam information obtained by the AI model inference with the optimal beam information obtained by the </w:t>
      </w:r>
      <w:r>
        <w:rPr>
          <w:rFonts w:hint="eastAsia"/>
          <w:sz w:val="20"/>
          <w:szCs w:val="20"/>
          <w:lang w:val="en-US" w:eastAsia="zh-CN"/>
        </w:rPr>
        <w:t xml:space="preserve">UE </w:t>
      </w:r>
      <w:r>
        <w:rPr>
          <w:rFonts w:hint="eastAsia" w:eastAsia="Times New Roman"/>
          <w:sz w:val="20"/>
          <w:szCs w:val="20"/>
          <w:lang w:val="en-GB"/>
        </w:rPr>
        <w:t xml:space="preserve">measurement, so as to evaluate whether the deployed model is effective. For the UE-side model, the UE may report the </w:t>
      </w:r>
      <w:r>
        <w:rPr>
          <w:rFonts w:hint="eastAsia"/>
          <w:sz w:val="20"/>
          <w:szCs w:val="20"/>
          <w:lang w:val="en-US" w:eastAsia="zh-CN"/>
        </w:rPr>
        <w:t xml:space="preserve">predicted </w:t>
      </w:r>
      <w:r>
        <w:rPr>
          <w:rFonts w:hint="eastAsia" w:eastAsia="Times New Roman"/>
          <w:sz w:val="20"/>
          <w:szCs w:val="20"/>
          <w:lang w:val="en-GB"/>
        </w:rPr>
        <w:t>optimal beam information</w:t>
      </w:r>
      <w:r>
        <w:rPr>
          <w:rFonts w:hint="eastAsia"/>
          <w:sz w:val="20"/>
          <w:szCs w:val="20"/>
          <w:lang w:val="en-US" w:eastAsia="zh-CN"/>
        </w:rPr>
        <w:t xml:space="preserve"> </w:t>
      </w:r>
      <w:r>
        <w:rPr>
          <w:rFonts w:hint="eastAsia" w:eastAsia="Times New Roman"/>
          <w:sz w:val="20"/>
          <w:szCs w:val="20"/>
          <w:lang w:val="en-GB"/>
        </w:rPr>
        <w:t xml:space="preserve">and the </w:t>
      </w:r>
      <w:r>
        <w:rPr>
          <w:rFonts w:hint="eastAsia"/>
          <w:sz w:val="20"/>
          <w:szCs w:val="20"/>
          <w:lang w:val="en-US" w:eastAsia="zh-CN"/>
        </w:rPr>
        <w:t xml:space="preserve">measured </w:t>
      </w:r>
      <w:r>
        <w:rPr>
          <w:rFonts w:hint="eastAsia" w:eastAsia="Times New Roman"/>
          <w:sz w:val="20"/>
          <w:szCs w:val="20"/>
          <w:lang w:val="en-GB"/>
        </w:rPr>
        <w:t>optimal beam information</w:t>
      </w:r>
      <w:r>
        <w:rPr>
          <w:rFonts w:hint="eastAsia"/>
          <w:sz w:val="20"/>
          <w:szCs w:val="20"/>
          <w:lang w:val="en-US" w:eastAsia="zh-CN"/>
        </w:rPr>
        <w:t xml:space="preserve"> </w:t>
      </w:r>
      <w:r>
        <w:rPr>
          <w:rFonts w:hint="eastAsia" w:eastAsia="Times New Roman"/>
          <w:sz w:val="20"/>
          <w:szCs w:val="20"/>
          <w:lang w:val="en-GB"/>
        </w:rPr>
        <w:t>(i</w:t>
      </w:r>
      <w:r>
        <w:rPr>
          <w:rFonts w:hint="eastAsia"/>
          <w:sz w:val="20"/>
          <w:szCs w:val="20"/>
          <w:lang w:val="en-US" w:eastAsia="zh-CN"/>
        </w:rPr>
        <w:t>.</w:t>
      </w:r>
      <w:r>
        <w:rPr>
          <w:rFonts w:hint="eastAsia" w:eastAsia="Times New Roman"/>
          <w:sz w:val="20"/>
          <w:szCs w:val="20"/>
          <w:lang w:val="en-GB"/>
        </w:rPr>
        <w:t>e</w:t>
      </w:r>
      <w:r>
        <w:rPr>
          <w:rFonts w:hint="eastAsia"/>
          <w:sz w:val="20"/>
          <w:szCs w:val="20"/>
          <w:lang w:val="en-US" w:eastAsia="zh-CN"/>
        </w:rPr>
        <w:t>.</w:t>
      </w:r>
      <w:r>
        <w:rPr>
          <w:rFonts w:hint="eastAsia" w:eastAsia="Times New Roman"/>
          <w:sz w:val="20"/>
          <w:szCs w:val="20"/>
          <w:lang w:val="en-GB"/>
        </w:rPr>
        <w:t>, labels)</w:t>
      </w:r>
      <w:r>
        <w:rPr>
          <w:rFonts w:hint="eastAsia"/>
          <w:sz w:val="20"/>
          <w:szCs w:val="20"/>
          <w:lang w:val="en-US" w:eastAsia="zh-CN"/>
        </w:rPr>
        <w:t xml:space="preserve"> </w:t>
      </w:r>
      <w:r>
        <w:rPr>
          <w:rFonts w:hint="eastAsia" w:eastAsia="Times New Roman"/>
          <w:sz w:val="20"/>
          <w:szCs w:val="20"/>
          <w:lang w:val="en-GB"/>
        </w:rPr>
        <w:t xml:space="preserve">in </w:t>
      </w:r>
      <w:r>
        <w:rPr>
          <w:rFonts w:hint="eastAsia"/>
          <w:sz w:val="20"/>
          <w:szCs w:val="20"/>
          <w:lang w:val="en-US" w:eastAsia="zh-CN"/>
        </w:rPr>
        <w:t>a single</w:t>
      </w:r>
      <w:r>
        <w:rPr>
          <w:rFonts w:hint="eastAsia" w:eastAsia="Times New Roman"/>
          <w:sz w:val="20"/>
          <w:szCs w:val="20"/>
          <w:lang w:val="en-GB"/>
        </w:rPr>
        <w:t xml:space="preserve"> reporting instances. </w:t>
      </w:r>
      <w:r>
        <w:rPr>
          <w:rFonts w:hint="eastAsia"/>
          <w:sz w:val="20"/>
          <w:szCs w:val="20"/>
          <w:lang w:val="en-US" w:eastAsia="zh-CN"/>
        </w:rPr>
        <w:t>Then, t</w:t>
      </w:r>
      <w:r>
        <w:rPr>
          <w:rFonts w:hint="eastAsia" w:eastAsia="Times New Roman"/>
          <w:sz w:val="20"/>
          <w:szCs w:val="20"/>
          <w:lang w:val="en-GB"/>
        </w:rPr>
        <w:t xml:space="preserve">he </w:t>
      </w:r>
      <w:r>
        <w:rPr>
          <w:rFonts w:hint="eastAsia"/>
          <w:sz w:val="20"/>
          <w:szCs w:val="20"/>
          <w:lang w:val="en-US" w:eastAsia="zh-CN"/>
        </w:rPr>
        <w:t>gNB</w:t>
      </w:r>
      <w:r>
        <w:rPr>
          <w:rFonts w:hint="eastAsia" w:eastAsia="Times New Roman"/>
          <w:sz w:val="20"/>
          <w:szCs w:val="20"/>
          <w:lang w:val="en-GB"/>
        </w:rPr>
        <w:t xml:space="preserve"> judges whether the performance of the </w:t>
      </w:r>
      <w:r>
        <w:rPr>
          <w:rFonts w:hint="eastAsia"/>
          <w:sz w:val="20"/>
          <w:szCs w:val="20"/>
          <w:lang w:val="en-US" w:eastAsia="zh-CN"/>
        </w:rPr>
        <w:t xml:space="preserve">deployed UE-side </w:t>
      </w:r>
      <w:r>
        <w:rPr>
          <w:rFonts w:hint="eastAsia" w:eastAsia="Times New Roman"/>
          <w:sz w:val="20"/>
          <w:szCs w:val="20"/>
          <w:lang w:val="en-GB"/>
        </w:rPr>
        <w:t xml:space="preserve">model is reliable according to </w:t>
      </w:r>
      <w:r>
        <w:rPr>
          <w:rFonts w:hint="eastAsia"/>
          <w:sz w:val="20"/>
          <w:szCs w:val="20"/>
          <w:lang w:val="en-US" w:eastAsia="zh-CN"/>
        </w:rPr>
        <w:t>UE reporting contents</w:t>
      </w:r>
      <w:r>
        <w:rPr>
          <w:rFonts w:hint="eastAsia" w:eastAsia="Times New Roman"/>
          <w:sz w:val="20"/>
          <w:szCs w:val="20"/>
          <w:lang w:val="en-GB"/>
        </w:rPr>
        <w:t>. Or, more directly, the UE notifies the</w:t>
      </w:r>
      <w:r>
        <w:rPr>
          <w:rFonts w:hint="eastAsia"/>
          <w:sz w:val="20"/>
          <w:szCs w:val="20"/>
          <w:lang w:val="en-US" w:eastAsia="zh-CN"/>
        </w:rPr>
        <w:t xml:space="preserve"> gNB</w:t>
      </w:r>
      <w:r>
        <w:rPr>
          <w:rFonts w:hint="eastAsia" w:eastAsia="Times New Roman"/>
          <w:sz w:val="20"/>
          <w:szCs w:val="20"/>
          <w:lang w:val="en-GB"/>
        </w:rPr>
        <w:t xml:space="preserve"> of the model monitoring result implicitly or explicitly in a reporting instance.</w:t>
      </w:r>
      <w:r>
        <w:rPr>
          <w:rFonts w:hint="eastAsia"/>
          <w:sz w:val="20"/>
          <w:szCs w:val="20"/>
          <w:lang w:val="en-US" w:eastAsia="zh-CN"/>
        </w:rPr>
        <w:t xml:space="preserve"> Based on the model monitoring result, the gNB</w:t>
      </w:r>
      <w:r>
        <w:rPr>
          <w:rFonts w:hint="eastAsia" w:eastAsia="Times New Roman"/>
          <w:sz w:val="20"/>
          <w:szCs w:val="20"/>
          <w:lang w:val="en-GB"/>
        </w:rPr>
        <w:t xml:space="preserve"> </w:t>
      </w:r>
      <w:r>
        <w:rPr>
          <w:rFonts w:hint="eastAsia"/>
          <w:sz w:val="20"/>
          <w:szCs w:val="20"/>
          <w:lang w:val="en-US" w:eastAsia="zh-CN"/>
        </w:rPr>
        <w:t>performs further operations such as AI model activation/deactivation, model switching, and fallback.</w:t>
      </w:r>
    </w:p>
    <w:p>
      <w:pPr>
        <w:spacing w:before="72" w:beforeLines="30" w:after="72" w:afterLines="30" w:line="288" w:lineRule="auto"/>
        <w:jc w:val="both"/>
        <w:rPr>
          <w:rFonts w:hint="eastAsia" w:eastAsia="宋体"/>
          <w:i/>
          <w:iCs/>
          <w:sz w:val="20"/>
          <w:szCs w:val="20"/>
          <w:lang w:val="en-US" w:eastAsia="zh-CN"/>
        </w:rPr>
      </w:pPr>
      <w:r>
        <w:rPr>
          <w:rFonts w:hint="eastAsia"/>
          <w:b/>
          <w:bCs/>
          <w:i/>
          <w:iCs/>
          <w:sz w:val="20"/>
          <w:szCs w:val="20"/>
          <w:lang w:val="en-US" w:eastAsia="zh-CN"/>
        </w:rPr>
        <w:t>Observation 8</w:t>
      </w:r>
      <w:r>
        <w:rPr>
          <w:rFonts w:hint="eastAsia" w:eastAsia="Times New Roman"/>
          <w:b/>
          <w:bCs/>
          <w:i/>
          <w:iCs/>
          <w:sz w:val="20"/>
          <w:szCs w:val="20"/>
        </w:rPr>
        <w:t>:</w:t>
      </w:r>
      <w:r>
        <w:rPr>
          <w:rFonts w:hint="eastAsia" w:eastAsia="Times New Roman"/>
          <w:i/>
          <w:iCs/>
          <w:sz w:val="20"/>
          <w:szCs w:val="20"/>
        </w:rPr>
        <w:t xml:space="preserve"> </w:t>
      </w:r>
      <w:r>
        <w:rPr>
          <w:rFonts w:hint="eastAsia" w:eastAsia="Times New Roman"/>
          <w:i/>
          <w:iCs/>
          <w:sz w:val="20"/>
          <w:szCs w:val="20"/>
          <w:lang w:val="en-GB"/>
        </w:rPr>
        <w:t xml:space="preserve">Model monitoring can be </w:t>
      </w:r>
      <w:r>
        <w:rPr>
          <w:rFonts w:hint="eastAsia"/>
          <w:i/>
          <w:iCs/>
          <w:sz w:val="20"/>
          <w:szCs w:val="20"/>
          <w:lang w:val="en-US" w:eastAsia="zh-CN"/>
        </w:rPr>
        <w:t xml:space="preserve">performed </w:t>
      </w:r>
      <w:r>
        <w:rPr>
          <w:rFonts w:hint="eastAsia" w:eastAsia="Times New Roman"/>
          <w:i/>
          <w:iCs/>
          <w:sz w:val="20"/>
          <w:szCs w:val="20"/>
          <w:lang w:val="en-GB"/>
        </w:rPr>
        <w:t xml:space="preserve">by comparing the </w:t>
      </w:r>
      <w:r>
        <w:rPr>
          <w:rFonts w:hint="eastAsia"/>
          <w:i/>
          <w:iCs/>
          <w:sz w:val="20"/>
          <w:szCs w:val="20"/>
          <w:lang w:val="en-US" w:eastAsia="zh-CN"/>
        </w:rPr>
        <w:t xml:space="preserve">predicted </w:t>
      </w:r>
      <w:r>
        <w:rPr>
          <w:rFonts w:hint="eastAsia" w:eastAsia="Times New Roman"/>
          <w:i/>
          <w:iCs/>
          <w:sz w:val="20"/>
          <w:szCs w:val="20"/>
          <w:lang w:val="en-GB"/>
        </w:rPr>
        <w:t>optimal beam</w:t>
      </w:r>
      <w:r>
        <w:rPr>
          <w:rFonts w:hint="eastAsia"/>
          <w:i/>
          <w:iCs/>
          <w:sz w:val="20"/>
          <w:szCs w:val="20"/>
          <w:lang w:val="en-US" w:eastAsia="zh-CN"/>
        </w:rPr>
        <w:t xml:space="preserve"> </w:t>
      </w:r>
      <w:r>
        <w:rPr>
          <w:rFonts w:hint="eastAsia" w:eastAsia="Times New Roman"/>
          <w:i/>
          <w:iCs/>
          <w:sz w:val="20"/>
          <w:szCs w:val="20"/>
          <w:lang w:val="en-GB"/>
        </w:rPr>
        <w:t xml:space="preserve">with the </w:t>
      </w:r>
      <w:r>
        <w:rPr>
          <w:rFonts w:hint="eastAsia"/>
          <w:i/>
          <w:iCs/>
          <w:sz w:val="20"/>
          <w:szCs w:val="20"/>
          <w:lang w:val="en-US" w:eastAsia="zh-CN"/>
        </w:rPr>
        <w:t xml:space="preserve">realistic </w:t>
      </w:r>
      <w:r>
        <w:rPr>
          <w:rFonts w:hint="eastAsia" w:eastAsia="Times New Roman"/>
          <w:i/>
          <w:iCs/>
          <w:sz w:val="20"/>
          <w:szCs w:val="20"/>
          <w:lang w:val="en-GB"/>
        </w:rPr>
        <w:t>optimal beam</w:t>
      </w:r>
      <w:r>
        <w:rPr>
          <w:rFonts w:hint="eastAsia"/>
          <w:i/>
          <w:iCs/>
          <w:sz w:val="20"/>
          <w:szCs w:val="20"/>
          <w:lang w:val="en-US" w:eastAsia="zh-CN"/>
        </w:rPr>
        <w:t>, which is obtained by</w:t>
      </w:r>
      <w:r>
        <w:rPr>
          <w:rFonts w:hint="eastAsia" w:eastAsia="Times New Roman"/>
          <w:i/>
          <w:iCs/>
          <w:sz w:val="20"/>
          <w:szCs w:val="20"/>
        </w:rPr>
        <w:t xml:space="preserve"> </w:t>
      </w:r>
      <w:r>
        <w:rPr>
          <w:rFonts w:hint="eastAsia"/>
          <w:i/>
          <w:iCs/>
          <w:sz w:val="20"/>
          <w:szCs w:val="20"/>
          <w:lang w:val="en-US" w:eastAsia="zh-CN"/>
        </w:rPr>
        <w:t>measuring</w:t>
      </w:r>
      <w:r>
        <w:rPr>
          <w:rFonts w:hint="eastAsia" w:eastAsia="Times New Roman"/>
          <w:i/>
          <w:iCs/>
          <w:sz w:val="20"/>
          <w:szCs w:val="20"/>
        </w:rPr>
        <w:t xml:space="preserve"> </w:t>
      </w:r>
      <w:r>
        <w:rPr>
          <w:rFonts w:hint="eastAsia"/>
          <w:i/>
          <w:iCs/>
          <w:sz w:val="20"/>
          <w:szCs w:val="20"/>
          <w:lang w:val="en-US" w:eastAsia="zh-CN"/>
        </w:rPr>
        <w:t xml:space="preserve">one or more </w:t>
      </w:r>
      <w:r>
        <w:rPr>
          <w:rFonts w:eastAsia="Times New Roman"/>
          <w:i/>
          <w:iCs/>
          <w:sz w:val="20"/>
          <w:szCs w:val="20"/>
        </w:rPr>
        <w:t>resource set</w:t>
      </w:r>
      <w:r>
        <w:rPr>
          <w:rFonts w:hint="eastAsia"/>
          <w:i/>
          <w:iCs/>
          <w:sz w:val="20"/>
          <w:szCs w:val="20"/>
          <w:lang w:val="en-US" w:eastAsia="zh-CN"/>
        </w:rPr>
        <w:t>s</w:t>
      </w:r>
      <w:r>
        <w:rPr>
          <w:rFonts w:eastAsia="Times New Roman"/>
          <w:i/>
          <w:iCs/>
          <w:sz w:val="20"/>
          <w:szCs w:val="20"/>
        </w:rPr>
        <w:t xml:space="preserve"> consisting of CSI-RS or alternatively SS blocks </w:t>
      </w:r>
      <w:r>
        <w:rPr>
          <w:rFonts w:hint="eastAsia" w:eastAsia="Times New Roman"/>
          <w:i/>
          <w:iCs/>
          <w:sz w:val="20"/>
          <w:szCs w:val="20"/>
        </w:rPr>
        <w:t xml:space="preserve">that </w:t>
      </w:r>
      <w:r>
        <w:rPr>
          <w:rFonts w:eastAsia="Times New Roman"/>
          <w:i/>
          <w:iCs/>
          <w:sz w:val="20"/>
          <w:szCs w:val="20"/>
        </w:rPr>
        <w:t>correspond</w:t>
      </w:r>
      <w:r>
        <w:rPr>
          <w:rFonts w:hint="eastAsia" w:eastAsia="Times New Roman"/>
          <w:i/>
          <w:iCs/>
          <w:sz w:val="20"/>
          <w:szCs w:val="20"/>
        </w:rPr>
        <w:t xml:space="preserve"> </w:t>
      </w:r>
      <w:r>
        <w:rPr>
          <w:rFonts w:eastAsia="Times New Roman"/>
          <w:i/>
          <w:iCs/>
          <w:sz w:val="20"/>
          <w:szCs w:val="20"/>
        </w:rPr>
        <w:t>to different downlink beams at the whole beam space</w:t>
      </w:r>
      <w:r>
        <w:rPr>
          <w:rFonts w:hint="eastAsia"/>
          <w:i/>
          <w:iCs/>
          <w:sz w:val="20"/>
          <w:szCs w:val="20"/>
          <w:lang w:val="en-US" w:eastAsia="zh-CN"/>
        </w:rPr>
        <w:t>.</w:t>
      </w:r>
    </w:p>
    <w:p>
      <w:pPr>
        <w:snapToGrid w:val="0"/>
        <w:spacing w:before="72" w:beforeLines="30" w:after="72" w:afterLines="30" w:line="288" w:lineRule="auto"/>
        <w:jc w:val="both"/>
        <w:rPr>
          <w:rFonts w:hint="eastAsia" w:eastAsia="Times New Roman"/>
          <w:b/>
          <w:bCs/>
          <w:sz w:val="20"/>
          <w:szCs w:val="20"/>
          <w:u w:val="single"/>
          <w:lang w:val="en-GB"/>
        </w:rPr>
      </w:pPr>
    </w:p>
    <w:p>
      <w:pPr>
        <w:numPr>
          <w:ilvl w:val="0"/>
          <w:numId w:val="5"/>
        </w:numPr>
        <w:tabs>
          <w:tab w:val="clear" w:pos="432"/>
        </w:tabs>
        <w:snapToGrid w:val="0"/>
        <w:spacing w:before="120" w:beforeLines="50" w:after="120" w:afterLines="50" w:line="288" w:lineRule="auto"/>
        <w:ind w:left="567" w:hanging="567"/>
        <w:jc w:val="both"/>
        <w:outlineLvl w:val="0"/>
        <w:rPr>
          <w:b/>
          <w:sz w:val="28"/>
          <w:szCs w:val="28"/>
        </w:rPr>
      </w:pPr>
      <w:r>
        <w:rPr>
          <w:rFonts w:hint="eastAsia"/>
          <w:b/>
          <w:sz w:val="28"/>
          <w:szCs w:val="28"/>
        </w:rPr>
        <w:t>Conclusions</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rFonts w:eastAsia="Times New Roman"/>
          <w:sz w:val="20"/>
          <w:szCs w:val="20"/>
          <w:lang w:val="en-GB"/>
        </w:rPr>
      </w:pPr>
      <w:r>
        <w:rPr>
          <w:rFonts w:hint="eastAsia" w:eastAsia="Times New Roman"/>
          <w:sz w:val="20"/>
          <w:szCs w:val="20"/>
          <w:lang w:val="en-GB"/>
        </w:rPr>
        <w:t>In this contribution, we discuss the potential specification impacts and enhancements for AI/ML based beam management. We have the following observations and proposals.</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b/>
          <w:bCs/>
          <w:i/>
          <w:iCs/>
          <w:sz w:val="20"/>
          <w:szCs w:val="20"/>
          <w:u w:val="single"/>
          <w:lang w:val="en-GB"/>
        </w:rPr>
      </w:pPr>
      <w:r>
        <w:rPr>
          <w:rFonts w:hint="eastAsia"/>
          <w:b/>
          <w:bCs/>
          <w:i/>
          <w:iCs/>
          <w:sz w:val="20"/>
          <w:szCs w:val="20"/>
          <w:u w:val="single"/>
          <w:lang w:val="en-GB"/>
        </w:rPr>
        <w:t>Observations:</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rFonts w:hint="eastAsia"/>
          <w:i/>
          <w:iCs/>
          <w:sz w:val="20"/>
          <w:szCs w:val="20"/>
        </w:rPr>
      </w:pPr>
      <w:r>
        <w:rPr>
          <w:rFonts w:hint="eastAsia"/>
          <w:b/>
          <w:bCs/>
          <w:i/>
          <w:iCs/>
          <w:sz w:val="20"/>
          <w:szCs w:val="20"/>
        </w:rPr>
        <w:t>Observation 1:</w:t>
      </w:r>
      <w:r>
        <w:rPr>
          <w:rFonts w:hint="eastAsia"/>
          <w:i/>
          <w:iCs/>
          <w:sz w:val="20"/>
          <w:szCs w:val="20"/>
        </w:rPr>
        <w:t xml:space="preserve"> For AI/ML model training and inference, Alt.3 outperforms Alt.1 and Alt.2 in terms of reporting overhead and/or beam prediction performance.</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rFonts w:hint="eastAsia"/>
          <w:i/>
          <w:iCs/>
          <w:sz w:val="20"/>
          <w:szCs w:val="20"/>
        </w:rPr>
      </w:pPr>
      <w:r>
        <w:rPr>
          <w:rFonts w:hint="eastAsia"/>
          <w:b/>
          <w:bCs/>
          <w:i/>
          <w:iCs/>
          <w:sz w:val="20"/>
          <w:szCs w:val="20"/>
        </w:rPr>
        <w:t>Observation 2:</w:t>
      </w:r>
      <w:r>
        <w:rPr>
          <w:rFonts w:hint="eastAsia"/>
          <w:i/>
          <w:iCs/>
          <w:sz w:val="20"/>
          <w:szCs w:val="20"/>
        </w:rPr>
        <w:t xml:space="preserve"> The number of beams for measurement (i.e., set B) and for prediction (i.e., set A) is related to the trade-off between inference performance and RS overhead for beam measurement. </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rFonts w:hint="eastAsia"/>
          <w:i/>
          <w:iCs/>
          <w:sz w:val="20"/>
          <w:szCs w:val="20"/>
        </w:rPr>
      </w:pPr>
      <w:r>
        <w:rPr>
          <w:rFonts w:hint="eastAsia"/>
          <w:b/>
          <w:bCs/>
          <w:i/>
          <w:iCs/>
          <w:sz w:val="20"/>
          <w:szCs w:val="20"/>
        </w:rPr>
        <w:t>Observation 3:</w:t>
      </w:r>
      <w:r>
        <w:rPr>
          <w:rFonts w:hint="eastAsia"/>
          <w:i/>
          <w:iCs/>
          <w:sz w:val="20"/>
          <w:szCs w:val="20"/>
        </w:rPr>
        <w:t xml:space="preserve"> Much of the assistance information mentioned in Alt.2 is proprietary information of the gNB or UE, which may be difficult to be obtained and shared with another vendor. </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rFonts w:hint="eastAsia"/>
          <w:i/>
          <w:iCs/>
          <w:sz w:val="20"/>
          <w:szCs w:val="20"/>
        </w:rPr>
      </w:pPr>
      <w:r>
        <w:rPr>
          <w:rFonts w:hint="eastAsia"/>
          <w:b/>
          <w:bCs/>
          <w:i/>
          <w:iCs/>
          <w:sz w:val="20"/>
          <w:szCs w:val="20"/>
        </w:rPr>
        <w:t>Observation 4:</w:t>
      </w:r>
      <w:r>
        <w:rPr>
          <w:rFonts w:hint="eastAsia"/>
          <w:i/>
          <w:iCs/>
          <w:sz w:val="20"/>
          <w:szCs w:val="20"/>
        </w:rPr>
        <w:t xml:space="preserve"> Alt.1 can provide better standard compatibility and less additional standardization effort since only beam ID and the predicted RSRP are considered as the AI output.</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rFonts w:hint="eastAsia"/>
          <w:i/>
          <w:iCs/>
          <w:sz w:val="20"/>
          <w:szCs w:val="20"/>
        </w:rPr>
      </w:pPr>
      <w:r>
        <w:rPr>
          <w:rFonts w:hint="eastAsia"/>
          <w:b/>
          <w:bCs/>
          <w:i/>
          <w:iCs/>
          <w:sz w:val="20"/>
          <w:szCs w:val="20"/>
        </w:rPr>
        <w:t xml:space="preserve">Observation 5: </w:t>
      </w:r>
      <w:r>
        <w:rPr>
          <w:rFonts w:hint="eastAsia"/>
          <w:i/>
          <w:iCs/>
          <w:sz w:val="20"/>
          <w:szCs w:val="20"/>
        </w:rPr>
        <w:t>The specific construction of the beam set for measurement will have a great impact on the beam training overhead, model complexity and inference performance.</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rFonts w:hint="eastAsia"/>
          <w:i/>
          <w:iCs/>
          <w:sz w:val="20"/>
          <w:szCs w:val="20"/>
        </w:rPr>
      </w:pPr>
      <w:r>
        <w:rPr>
          <w:rFonts w:hint="eastAsia"/>
          <w:b/>
          <w:bCs/>
          <w:i/>
          <w:iCs/>
          <w:sz w:val="20"/>
          <w:szCs w:val="20"/>
        </w:rPr>
        <w:t>Observation 6:</w:t>
      </w:r>
      <w:r>
        <w:rPr>
          <w:rFonts w:hint="eastAsia"/>
          <w:i/>
          <w:iCs/>
          <w:sz w:val="20"/>
          <w:szCs w:val="20"/>
        </w:rPr>
        <w:t xml:space="preserve"> If the beam set for measurement and the beam set for prediction are different, the spatial domain beam prediction algorithm may be an essential precondition for the temporal beam prediction study.</w:t>
      </w:r>
    </w:p>
    <w:p>
      <w:pPr>
        <w:spacing w:before="72" w:beforeLines="30" w:after="72" w:afterLines="30" w:line="288" w:lineRule="auto"/>
        <w:jc w:val="both"/>
        <w:rPr>
          <w:rFonts w:hint="eastAsia" w:eastAsia="Times New Roman"/>
          <w:i/>
          <w:iCs/>
          <w:sz w:val="20"/>
          <w:szCs w:val="20"/>
          <w:lang w:val="en-GB"/>
        </w:rPr>
      </w:pPr>
      <w:r>
        <w:rPr>
          <w:rFonts w:hint="eastAsia"/>
          <w:b/>
          <w:bCs/>
          <w:i/>
          <w:iCs/>
          <w:sz w:val="20"/>
          <w:szCs w:val="20"/>
          <w:lang w:val="en-US" w:eastAsia="zh-CN"/>
        </w:rPr>
        <w:t>Observation 7</w:t>
      </w:r>
      <w:r>
        <w:rPr>
          <w:rFonts w:hint="eastAsia" w:eastAsia="Times New Roman"/>
          <w:b/>
          <w:bCs/>
          <w:i/>
          <w:iCs/>
          <w:sz w:val="20"/>
          <w:szCs w:val="20"/>
        </w:rPr>
        <w:t>:</w:t>
      </w:r>
      <w:r>
        <w:rPr>
          <w:rFonts w:hint="eastAsia" w:eastAsia="Times New Roman"/>
          <w:i/>
          <w:iCs/>
          <w:sz w:val="20"/>
          <w:szCs w:val="20"/>
        </w:rPr>
        <w:t xml:space="preserve"> </w:t>
      </w:r>
      <w:r>
        <w:rPr>
          <w:rFonts w:hint="eastAsia"/>
          <w:i/>
          <w:iCs/>
          <w:sz w:val="20"/>
          <w:szCs w:val="20"/>
          <w:lang w:val="en-US" w:eastAsia="zh-CN"/>
        </w:rPr>
        <w:t>C</w:t>
      </w:r>
      <w:r>
        <w:rPr>
          <w:rFonts w:hint="eastAsia" w:eastAsia="Times New Roman"/>
          <w:i/>
          <w:iCs/>
          <w:sz w:val="20"/>
          <w:szCs w:val="20"/>
          <w:lang w:val="en-GB"/>
        </w:rPr>
        <w:t xml:space="preserve">ompared with the beam pair prediction on the network side, the beam pair prediction on the UE side brings less standardization work and does not involve </w:t>
      </w:r>
      <w:r>
        <w:rPr>
          <w:rFonts w:hint="eastAsia"/>
          <w:i/>
          <w:iCs/>
          <w:sz w:val="20"/>
          <w:szCs w:val="20"/>
          <w:lang w:val="en-US" w:eastAsia="zh-CN"/>
        </w:rPr>
        <w:t xml:space="preserve">sensitive </w:t>
      </w:r>
      <w:r>
        <w:rPr>
          <w:rFonts w:hint="eastAsia" w:eastAsia="Times New Roman"/>
          <w:i/>
          <w:iCs/>
          <w:sz w:val="20"/>
          <w:szCs w:val="20"/>
          <w:lang w:val="en-GB"/>
        </w:rPr>
        <w:t>proprietary information disclosure issues.</w:t>
      </w:r>
    </w:p>
    <w:p>
      <w:pPr>
        <w:spacing w:before="72" w:beforeLines="30" w:after="72" w:afterLines="30" w:line="288" w:lineRule="auto"/>
        <w:jc w:val="both"/>
        <w:rPr>
          <w:rFonts w:hint="eastAsia" w:eastAsia="宋体"/>
          <w:i/>
          <w:iCs/>
          <w:sz w:val="20"/>
          <w:szCs w:val="20"/>
          <w:lang w:val="en-US" w:eastAsia="zh-CN"/>
        </w:rPr>
      </w:pPr>
      <w:r>
        <w:rPr>
          <w:rFonts w:hint="eastAsia"/>
          <w:b/>
          <w:bCs/>
          <w:i/>
          <w:iCs/>
          <w:sz w:val="20"/>
          <w:szCs w:val="20"/>
          <w:lang w:val="en-US" w:eastAsia="zh-CN"/>
        </w:rPr>
        <w:t>Observation 8</w:t>
      </w:r>
      <w:r>
        <w:rPr>
          <w:rFonts w:hint="eastAsia" w:eastAsia="Times New Roman"/>
          <w:b/>
          <w:bCs/>
          <w:i/>
          <w:iCs/>
          <w:sz w:val="20"/>
          <w:szCs w:val="20"/>
        </w:rPr>
        <w:t>:</w:t>
      </w:r>
      <w:r>
        <w:rPr>
          <w:rFonts w:hint="eastAsia" w:eastAsia="Times New Roman"/>
          <w:i/>
          <w:iCs/>
          <w:sz w:val="20"/>
          <w:szCs w:val="20"/>
        </w:rPr>
        <w:t xml:space="preserve"> </w:t>
      </w:r>
      <w:r>
        <w:rPr>
          <w:rFonts w:hint="eastAsia" w:eastAsia="Times New Roman"/>
          <w:i/>
          <w:iCs/>
          <w:sz w:val="20"/>
          <w:szCs w:val="20"/>
          <w:lang w:val="en-GB"/>
        </w:rPr>
        <w:t xml:space="preserve">Model monitoring can be </w:t>
      </w:r>
      <w:r>
        <w:rPr>
          <w:rFonts w:hint="eastAsia"/>
          <w:i/>
          <w:iCs/>
          <w:sz w:val="20"/>
          <w:szCs w:val="20"/>
          <w:lang w:val="en-US" w:eastAsia="zh-CN"/>
        </w:rPr>
        <w:t xml:space="preserve">performed </w:t>
      </w:r>
      <w:r>
        <w:rPr>
          <w:rFonts w:hint="eastAsia" w:eastAsia="Times New Roman"/>
          <w:i/>
          <w:iCs/>
          <w:sz w:val="20"/>
          <w:szCs w:val="20"/>
          <w:lang w:val="en-GB"/>
        </w:rPr>
        <w:t xml:space="preserve">by comparing the </w:t>
      </w:r>
      <w:r>
        <w:rPr>
          <w:rFonts w:hint="eastAsia"/>
          <w:i/>
          <w:iCs/>
          <w:sz w:val="20"/>
          <w:szCs w:val="20"/>
          <w:lang w:val="en-US" w:eastAsia="zh-CN"/>
        </w:rPr>
        <w:t xml:space="preserve">predicted </w:t>
      </w:r>
      <w:r>
        <w:rPr>
          <w:rFonts w:hint="eastAsia" w:eastAsia="Times New Roman"/>
          <w:i/>
          <w:iCs/>
          <w:sz w:val="20"/>
          <w:szCs w:val="20"/>
          <w:lang w:val="en-GB"/>
        </w:rPr>
        <w:t>optimal beam</w:t>
      </w:r>
      <w:r>
        <w:rPr>
          <w:rFonts w:hint="eastAsia"/>
          <w:i/>
          <w:iCs/>
          <w:sz w:val="20"/>
          <w:szCs w:val="20"/>
          <w:lang w:val="en-US" w:eastAsia="zh-CN"/>
        </w:rPr>
        <w:t xml:space="preserve"> </w:t>
      </w:r>
      <w:r>
        <w:rPr>
          <w:rFonts w:hint="eastAsia" w:eastAsia="Times New Roman"/>
          <w:i/>
          <w:iCs/>
          <w:sz w:val="20"/>
          <w:szCs w:val="20"/>
          <w:lang w:val="en-GB"/>
        </w:rPr>
        <w:t xml:space="preserve">with the </w:t>
      </w:r>
      <w:r>
        <w:rPr>
          <w:rFonts w:hint="eastAsia"/>
          <w:i/>
          <w:iCs/>
          <w:sz w:val="20"/>
          <w:szCs w:val="20"/>
          <w:lang w:val="en-US" w:eastAsia="zh-CN"/>
        </w:rPr>
        <w:t xml:space="preserve">realistic </w:t>
      </w:r>
      <w:r>
        <w:rPr>
          <w:rFonts w:hint="eastAsia" w:eastAsia="Times New Roman"/>
          <w:i/>
          <w:iCs/>
          <w:sz w:val="20"/>
          <w:szCs w:val="20"/>
          <w:lang w:val="en-GB"/>
        </w:rPr>
        <w:t>optimal beam</w:t>
      </w:r>
      <w:r>
        <w:rPr>
          <w:rFonts w:hint="eastAsia"/>
          <w:i/>
          <w:iCs/>
          <w:sz w:val="20"/>
          <w:szCs w:val="20"/>
          <w:lang w:val="en-US" w:eastAsia="zh-CN"/>
        </w:rPr>
        <w:t>, which is obtained by</w:t>
      </w:r>
      <w:r>
        <w:rPr>
          <w:rFonts w:hint="eastAsia" w:eastAsia="Times New Roman"/>
          <w:i/>
          <w:iCs/>
          <w:sz w:val="20"/>
          <w:szCs w:val="20"/>
        </w:rPr>
        <w:t xml:space="preserve"> </w:t>
      </w:r>
      <w:r>
        <w:rPr>
          <w:rFonts w:hint="eastAsia"/>
          <w:i/>
          <w:iCs/>
          <w:sz w:val="20"/>
          <w:szCs w:val="20"/>
          <w:lang w:val="en-US" w:eastAsia="zh-CN"/>
        </w:rPr>
        <w:t>measuring</w:t>
      </w:r>
      <w:r>
        <w:rPr>
          <w:rFonts w:hint="eastAsia" w:eastAsia="Times New Roman"/>
          <w:i/>
          <w:iCs/>
          <w:sz w:val="20"/>
          <w:szCs w:val="20"/>
        </w:rPr>
        <w:t xml:space="preserve"> </w:t>
      </w:r>
      <w:r>
        <w:rPr>
          <w:rFonts w:hint="eastAsia"/>
          <w:i/>
          <w:iCs/>
          <w:sz w:val="20"/>
          <w:szCs w:val="20"/>
          <w:lang w:val="en-US" w:eastAsia="zh-CN"/>
        </w:rPr>
        <w:t xml:space="preserve">one or more </w:t>
      </w:r>
      <w:r>
        <w:rPr>
          <w:rFonts w:eastAsia="Times New Roman"/>
          <w:i/>
          <w:iCs/>
          <w:sz w:val="20"/>
          <w:szCs w:val="20"/>
        </w:rPr>
        <w:t>resource set</w:t>
      </w:r>
      <w:r>
        <w:rPr>
          <w:rFonts w:hint="eastAsia"/>
          <w:i/>
          <w:iCs/>
          <w:sz w:val="20"/>
          <w:szCs w:val="20"/>
          <w:lang w:val="en-US" w:eastAsia="zh-CN"/>
        </w:rPr>
        <w:t>s</w:t>
      </w:r>
      <w:r>
        <w:rPr>
          <w:rFonts w:eastAsia="Times New Roman"/>
          <w:i/>
          <w:iCs/>
          <w:sz w:val="20"/>
          <w:szCs w:val="20"/>
        </w:rPr>
        <w:t xml:space="preserve"> consisting of CSI-RS or alternatively SS blocks </w:t>
      </w:r>
      <w:r>
        <w:rPr>
          <w:rFonts w:hint="eastAsia" w:eastAsia="Times New Roman"/>
          <w:i/>
          <w:iCs/>
          <w:sz w:val="20"/>
          <w:szCs w:val="20"/>
        </w:rPr>
        <w:t xml:space="preserve">that </w:t>
      </w:r>
      <w:r>
        <w:rPr>
          <w:rFonts w:eastAsia="Times New Roman"/>
          <w:i/>
          <w:iCs/>
          <w:sz w:val="20"/>
          <w:szCs w:val="20"/>
        </w:rPr>
        <w:t>correspond</w:t>
      </w:r>
      <w:r>
        <w:rPr>
          <w:rFonts w:hint="eastAsia" w:eastAsia="Times New Roman"/>
          <w:i/>
          <w:iCs/>
          <w:sz w:val="20"/>
          <w:szCs w:val="20"/>
        </w:rPr>
        <w:t xml:space="preserve"> </w:t>
      </w:r>
      <w:r>
        <w:rPr>
          <w:rFonts w:eastAsia="Times New Roman"/>
          <w:i/>
          <w:iCs/>
          <w:sz w:val="20"/>
          <w:szCs w:val="20"/>
        </w:rPr>
        <w:t>to different downlink beams at the whole beam space</w:t>
      </w:r>
      <w:r>
        <w:rPr>
          <w:rFonts w:hint="eastAsia"/>
          <w:i/>
          <w:iCs/>
          <w:sz w:val="20"/>
          <w:szCs w:val="20"/>
          <w:lang w:val="en-US" w:eastAsia="zh-CN"/>
        </w:rPr>
        <w:t>.</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eastAsia"/>
          <w:i/>
          <w:iCs/>
          <w:sz w:val="20"/>
          <w:szCs w:val="20"/>
        </w:rPr>
      </w:pP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b/>
          <w:bCs/>
          <w:i/>
          <w:iCs/>
          <w:sz w:val="20"/>
          <w:szCs w:val="20"/>
          <w:u w:val="single"/>
          <w:lang w:val="en-GB"/>
        </w:rPr>
      </w:pPr>
      <w:r>
        <w:rPr>
          <w:rFonts w:hint="eastAsia"/>
          <w:b/>
          <w:bCs/>
          <w:i/>
          <w:iCs/>
          <w:sz w:val="20"/>
          <w:szCs w:val="20"/>
          <w:u w:val="single"/>
          <w:lang w:val="en-GB"/>
        </w:rPr>
        <w:t>Proposals:</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rFonts w:hint="eastAsia"/>
          <w:i/>
          <w:iCs/>
          <w:sz w:val="20"/>
          <w:szCs w:val="20"/>
        </w:rPr>
      </w:pPr>
      <w:r>
        <w:rPr>
          <w:rFonts w:hint="eastAsia"/>
          <w:b/>
          <w:bCs/>
          <w:i/>
          <w:iCs/>
          <w:sz w:val="20"/>
          <w:szCs w:val="20"/>
        </w:rPr>
        <w:t xml:space="preserve">Proposal 1: </w:t>
      </w:r>
      <w:r>
        <w:rPr>
          <w:rFonts w:hint="eastAsia"/>
          <w:i/>
          <w:iCs/>
          <w:sz w:val="20"/>
          <w:szCs w:val="20"/>
        </w:rPr>
        <w:t xml:space="preserve">If model transfer is supported in agenda 9.2.1, both Alt.1, Alt.2, and Alt.3 can be supported for further study with potential applicability </w:t>
      </w:r>
      <w:r>
        <w:rPr>
          <w:rFonts w:hint="eastAsia"/>
          <w:i/>
          <w:iCs/>
          <w:sz w:val="20"/>
          <w:szCs w:val="20"/>
          <w:lang w:val="en-US" w:eastAsia="zh-CN"/>
        </w:rPr>
        <w:t xml:space="preserve">in </w:t>
      </w:r>
      <w:r>
        <w:rPr>
          <w:rFonts w:hint="eastAsia"/>
          <w:i/>
          <w:iCs/>
          <w:sz w:val="20"/>
          <w:szCs w:val="20"/>
        </w:rPr>
        <w:t>different scenarios.</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rFonts w:hint="eastAsia"/>
          <w:i/>
          <w:iCs/>
          <w:sz w:val="20"/>
          <w:szCs w:val="20"/>
        </w:rPr>
      </w:pPr>
      <w:r>
        <w:rPr>
          <w:rFonts w:hint="eastAsia"/>
          <w:b/>
          <w:bCs/>
          <w:i/>
          <w:iCs/>
          <w:sz w:val="20"/>
          <w:szCs w:val="20"/>
        </w:rPr>
        <w:t xml:space="preserve">Proposal 2: </w:t>
      </w:r>
      <w:r>
        <w:rPr>
          <w:rFonts w:hint="eastAsia" w:eastAsia="Times New Roman"/>
          <w:i/>
          <w:iCs/>
          <w:sz w:val="20"/>
          <w:szCs w:val="20"/>
          <w:lang w:val="en-GB"/>
        </w:rPr>
        <w:t xml:space="preserve">Since the time unit of this study item is limited, we suggest to focus on the sub use cases BM-Case1 and BM-Case2 in </w:t>
      </w:r>
      <w:r>
        <w:rPr>
          <w:rFonts w:hint="eastAsia"/>
          <w:i/>
          <w:iCs/>
          <w:sz w:val="20"/>
          <w:szCs w:val="20"/>
          <w:lang w:val="en-US" w:eastAsia="zh-CN"/>
        </w:rPr>
        <w:t>Rel-18</w:t>
      </w:r>
      <w:r>
        <w:rPr>
          <w:rFonts w:hint="eastAsia" w:eastAsia="Times New Roman"/>
          <w:i/>
          <w:iCs/>
          <w:sz w:val="20"/>
          <w:szCs w:val="20"/>
          <w:lang w:val="en-GB"/>
        </w:rPr>
        <w:t>, and other sub use cases</w:t>
      </w:r>
      <w:r>
        <w:rPr>
          <w:rFonts w:hint="eastAsia"/>
          <w:i/>
          <w:iCs/>
          <w:sz w:val="20"/>
          <w:szCs w:val="20"/>
          <w:lang w:val="en-US" w:eastAsia="zh-CN"/>
        </w:rPr>
        <w:t xml:space="preserve"> can be discussed until solid AI framework has been made in Rel-18</w:t>
      </w:r>
      <w:r>
        <w:rPr>
          <w:rFonts w:hint="eastAsia" w:eastAsia="Times New Roman"/>
          <w:i/>
          <w:iCs/>
          <w:sz w:val="20"/>
          <w:szCs w:val="20"/>
          <w:lang w:val="en-GB"/>
        </w:rPr>
        <w:t>.</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rFonts w:hint="eastAsia"/>
          <w:i/>
          <w:iCs/>
          <w:sz w:val="20"/>
          <w:szCs w:val="20"/>
        </w:rPr>
      </w:pPr>
      <w:r>
        <w:rPr>
          <w:rFonts w:hint="eastAsia"/>
          <w:b/>
          <w:bCs/>
          <w:i/>
          <w:iCs/>
          <w:sz w:val="20"/>
          <w:szCs w:val="20"/>
        </w:rPr>
        <w:t xml:space="preserve">Proposal 3: </w:t>
      </w:r>
      <w:r>
        <w:rPr>
          <w:rFonts w:hint="eastAsia"/>
          <w:i/>
          <w:iCs/>
          <w:sz w:val="20"/>
          <w:szCs w:val="20"/>
        </w:rPr>
        <w:t>The sub-sampling based method in Alt.2 can serve as a starting point for the study of spatial domain beam prediction.</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rFonts w:hint="eastAsia"/>
          <w:i/>
          <w:iCs/>
          <w:sz w:val="20"/>
          <w:szCs w:val="20"/>
        </w:rPr>
      </w:pPr>
      <w:r>
        <w:rPr>
          <w:rFonts w:hint="eastAsia"/>
          <w:b/>
          <w:bCs/>
          <w:i/>
          <w:iCs/>
          <w:sz w:val="20"/>
          <w:szCs w:val="20"/>
        </w:rPr>
        <w:t xml:space="preserve">Proposal 4: </w:t>
      </w:r>
      <w:r>
        <w:rPr>
          <w:rFonts w:hint="eastAsia"/>
          <w:i/>
          <w:iCs/>
          <w:sz w:val="20"/>
          <w:szCs w:val="20"/>
        </w:rPr>
        <w:t xml:space="preserve">The association in reference signals between two sets with different beam </w:t>
      </w:r>
      <w:r>
        <w:rPr>
          <w:rFonts w:hint="eastAsia"/>
          <w:i/>
          <w:iCs/>
          <w:sz w:val="20"/>
          <w:szCs w:val="20"/>
          <w:lang w:val="en-US" w:eastAsia="zh-CN"/>
        </w:rPr>
        <w:t xml:space="preserve">settings </w:t>
      </w:r>
      <w:r>
        <w:rPr>
          <w:rFonts w:hint="eastAsia"/>
          <w:i/>
          <w:iCs/>
          <w:sz w:val="20"/>
          <w:szCs w:val="20"/>
        </w:rPr>
        <w:t>need to be further studied.</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rFonts w:hint="eastAsia"/>
          <w:i/>
          <w:iCs/>
          <w:sz w:val="20"/>
          <w:szCs w:val="20"/>
        </w:rPr>
      </w:pPr>
      <w:r>
        <w:rPr>
          <w:rFonts w:hint="eastAsia"/>
          <w:b/>
          <w:bCs/>
          <w:i/>
          <w:iCs/>
          <w:sz w:val="20"/>
          <w:szCs w:val="20"/>
        </w:rPr>
        <w:t xml:space="preserve">Proposal 5: </w:t>
      </w:r>
      <w:r>
        <w:rPr>
          <w:rFonts w:hint="eastAsia"/>
          <w:i/>
          <w:iCs/>
          <w:sz w:val="20"/>
          <w:szCs w:val="20"/>
        </w:rPr>
        <w:t>Focusing the discussion on Alt.1 and Alt.4 with only L1-RSRP measurement and the corresponding beam ID being taken into account for the AI input would be a good starting point.</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rFonts w:hint="eastAsia"/>
          <w:i/>
          <w:iCs/>
          <w:sz w:val="20"/>
          <w:szCs w:val="20"/>
        </w:rPr>
      </w:pPr>
      <w:r>
        <w:rPr>
          <w:rFonts w:hint="eastAsia"/>
          <w:b/>
          <w:bCs/>
          <w:i/>
          <w:iCs/>
          <w:sz w:val="20"/>
          <w:szCs w:val="20"/>
        </w:rPr>
        <w:t>Proposal 6:</w:t>
      </w:r>
      <w:r>
        <w:rPr>
          <w:rFonts w:hint="eastAsia"/>
          <w:i/>
          <w:iCs/>
          <w:sz w:val="20"/>
          <w:szCs w:val="20"/>
        </w:rPr>
        <w:t xml:space="preserve"> </w:t>
      </w:r>
      <w:r>
        <w:rPr>
          <w:rFonts w:hint="eastAsia" w:eastAsia="Times New Roman"/>
          <w:i/>
          <w:iCs/>
          <w:sz w:val="20"/>
          <w:szCs w:val="20"/>
          <w:lang w:val="en-GB"/>
        </w:rPr>
        <w:t>Focus</w:t>
      </w:r>
      <w:r>
        <w:rPr>
          <w:rFonts w:hint="eastAsia"/>
          <w:i/>
          <w:iCs/>
          <w:sz w:val="20"/>
          <w:szCs w:val="20"/>
          <w:lang w:val="en-US" w:eastAsia="zh-CN"/>
        </w:rPr>
        <w:t xml:space="preserve"> </w:t>
      </w:r>
      <w:r>
        <w:rPr>
          <w:rFonts w:hint="eastAsia" w:eastAsia="Times New Roman"/>
          <w:i/>
          <w:iCs/>
          <w:sz w:val="20"/>
          <w:szCs w:val="20"/>
          <w:lang w:val="en-GB"/>
        </w:rPr>
        <w:t>the discussion on Alt.1</w:t>
      </w:r>
      <w:r>
        <w:rPr>
          <w:rFonts w:hint="eastAsia"/>
          <w:i/>
          <w:iCs/>
          <w:sz w:val="20"/>
          <w:szCs w:val="20"/>
          <w:lang w:val="en-US" w:eastAsia="zh-CN"/>
        </w:rPr>
        <w:t xml:space="preserve"> </w:t>
      </w:r>
      <w:r>
        <w:rPr>
          <w:rFonts w:hint="eastAsia" w:eastAsia="Times New Roman"/>
          <w:i/>
          <w:iCs/>
          <w:sz w:val="20"/>
          <w:szCs w:val="20"/>
          <w:lang w:val="en-GB"/>
        </w:rPr>
        <w:t xml:space="preserve">as </w:t>
      </w:r>
      <w:r>
        <w:rPr>
          <w:rFonts w:hint="eastAsia"/>
          <w:i/>
          <w:iCs/>
          <w:sz w:val="20"/>
          <w:szCs w:val="20"/>
          <w:lang w:val="en-US" w:eastAsia="zh-CN"/>
        </w:rPr>
        <w:t xml:space="preserve">a </w:t>
      </w:r>
      <w:r>
        <w:rPr>
          <w:rFonts w:hint="eastAsia" w:eastAsia="Times New Roman"/>
          <w:i/>
          <w:iCs/>
          <w:sz w:val="20"/>
          <w:szCs w:val="20"/>
          <w:lang w:val="en-GB"/>
        </w:rPr>
        <w:t>starting point.</w:t>
      </w:r>
      <w:r>
        <w:rPr>
          <w:rFonts w:hint="eastAsia"/>
          <w:i/>
          <w:iCs/>
          <w:sz w:val="20"/>
          <w:szCs w:val="20"/>
          <w:lang w:val="en-US" w:eastAsia="zh-CN"/>
        </w:rPr>
        <w:t xml:space="preserve"> Alt.3 can be postponed until the</w:t>
      </w:r>
      <w:r>
        <w:rPr>
          <w:rFonts w:hint="eastAsia" w:eastAsia="Times New Roman"/>
          <w:i/>
          <w:iCs/>
          <w:sz w:val="20"/>
          <w:szCs w:val="20"/>
          <w:lang w:val="en-GB"/>
        </w:rPr>
        <w:t xml:space="preserve"> relationship between output beam angle and TCI state</w:t>
      </w:r>
      <w:r>
        <w:rPr>
          <w:rFonts w:hint="eastAsia"/>
          <w:i/>
          <w:iCs/>
          <w:sz w:val="20"/>
          <w:szCs w:val="20"/>
          <w:lang w:val="en-US" w:eastAsia="zh-CN"/>
        </w:rPr>
        <w:t xml:space="preserve"> is clear</w:t>
      </w:r>
      <w:r>
        <w:rPr>
          <w:rFonts w:hint="eastAsia" w:eastAsia="Times New Roman"/>
          <w:i/>
          <w:iCs/>
          <w:sz w:val="20"/>
          <w:szCs w:val="20"/>
          <w:lang w:val="en-GB"/>
        </w:rPr>
        <w:t>.</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rFonts w:hint="eastAsia"/>
          <w:i/>
          <w:iCs/>
          <w:sz w:val="20"/>
          <w:szCs w:val="20"/>
        </w:rPr>
      </w:pPr>
      <w:r>
        <w:rPr>
          <w:rFonts w:hint="eastAsia"/>
          <w:b/>
          <w:bCs/>
          <w:i/>
          <w:iCs/>
          <w:sz w:val="20"/>
          <w:szCs w:val="20"/>
        </w:rPr>
        <w:t>Proposal 7:</w:t>
      </w:r>
      <w:r>
        <w:rPr>
          <w:rFonts w:hint="eastAsia"/>
          <w:i/>
          <w:iCs/>
          <w:sz w:val="20"/>
          <w:szCs w:val="20"/>
        </w:rPr>
        <w:t xml:space="preserve"> Regarding the beam set construction, Alt.3 can be used as a benchmark, while Alt.1 and Alt.2 are deferred until the evaluation of the spatial domain beam prediction in BM-Case1 has achieved sufficient progress.</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rFonts w:hint="eastAsia"/>
          <w:i/>
          <w:iCs/>
          <w:sz w:val="20"/>
          <w:szCs w:val="20"/>
        </w:rPr>
      </w:pPr>
      <w:r>
        <w:rPr>
          <w:rFonts w:hint="eastAsia"/>
          <w:b/>
          <w:bCs/>
          <w:i/>
          <w:iCs/>
          <w:sz w:val="20"/>
          <w:szCs w:val="20"/>
        </w:rPr>
        <w:t>Proposal 8:</w:t>
      </w:r>
      <w:r>
        <w:rPr>
          <w:rFonts w:hint="eastAsia"/>
          <w:i/>
          <w:iCs/>
          <w:sz w:val="20"/>
          <w:szCs w:val="20"/>
        </w:rPr>
        <w:t xml:space="preserve"> For temporal domain beam prediction, focusing the AI input and output on measured RSRP and/or beam ID would be a good starting point, in which case the standardization workload and AI model complexity would be relatively low.</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rFonts w:hint="eastAsia"/>
          <w:i/>
          <w:iCs/>
          <w:sz w:val="20"/>
          <w:szCs w:val="20"/>
        </w:rPr>
      </w:pPr>
      <w:r>
        <w:rPr>
          <w:rFonts w:hint="eastAsia"/>
          <w:b/>
          <w:bCs/>
          <w:i/>
          <w:iCs/>
          <w:sz w:val="20"/>
          <w:szCs w:val="20"/>
        </w:rPr>
        <w:t>Proposal 9:</w:t>
      </w:r>
      <w:r>
        <w:rPr>
          <w:rFonts w:hint="eastAsia"/>
          <w:i/>
          <w:iCs/>
          <w:sz w:val="20"/>
          <w:szCs w:val="20"/>
        </w:rPr>
        <w:t xml:space="preserve"> For NW-side beam prediction AI/ML models, enhanced beam reporting mechanisms such as further screening, compression, and reporting of the beam measurement results need to be studied so as to balance the beam prediction performance and beam reporting overhead.</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rFonts w:hint="eastAsia"/>
          <w:b/>
          <w:bCs/>
          <w:i/>
          <w:iCs/>
          <w:sz w:val="20"/>
          <w:szCs w:val="20"/>
        </w:rPr>
      </w:pPr>
      <w:r>
        <w:rPr>
          <w:rFonts w:hint="eastAsia"/>
          <w:b/>
          <w:bCs/>
          <w:i/>
          <w:iCs/>
          <w:sz w:val="20"/>
          <w:szCs w:val="20"/>
        </w:rPr>
        <w:t>Proposal 10:</w:t>
      </w:r>
      <w:r>
        <w:rPr>
          <w:rFonts w:hint="eastAsia"/>
          <w:i/>
          <w:iCs/>
          <w:sz w:val="20"/>
          <w:szCs w:val="20"/>
        </w:rPr>
        <w:t xml:space="preserve"> For UE-side beam prediction AI/ML models, signaling methods need to be investigated to enable </w:t>
      </w:r>
      <w:r>
        <w:rPr>
          <w:rFonts w:hint="eastAsia"/>
          <w:b w:val="0"/>
          <w:bCs w:val="0"/>
          <w:i/>
          <w:iCs/>
          <w:sz w:val="20"/>
          <w:szCs w:val="20"/>
        </w:rPr>
        <w:t>recommendation, configuration, and indication of the beam set for measurement.</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rFonts w:hint="eastAsia"/>
          <w:i/>
          <w:iCs/>
          <w:sz w:val="20"/>
          <w:szCs w:val="20"/>
        </w:rPr>
      </w:pPr>
      <w:r>
        <w:rPr>
          <w:rFonts w:hint="eastAsia"/>
          <w:b/>
          <w:bCs/>
          <w:i/>
          <w:iCs/>
          <w:sz w:val="20"/>
          <w:szCs w:val="20"/>
        </w:rPr>
        <w:t>Proposal 11:</w:t>
      </w:r>
      <w:r>
        <w:rPr>
          <w:rFonts w:hint="eastAsia"/>
          <w:i/>
          <w:iCs/>
          <w:sz w:val="20"/>
          <w:szCs w:val="20"/>
        </w:rPr>
        <w:t xml:space="preserve"> Study enhanced resource configuration and beam indication mechanism if more flexible triggering or activating approaches are utilized.</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rFonts w:hint="eastAsia"/>
          <w:i/>
          <w:iCs/>
          <w:sz w:val="20"/>
          <w:szCs w:val="20"/>
        </w:rPr>
      </w:pPr>
      <w:r>
        <w:rPr>
          <w:rFonts w:hint="eastAsia"/>
          <w:b/>
          <w:bCs/>
          <w:i/>
          <w:iCs/>
          <w:sz w:val="20"/>
          <w:szCs w:val="20"/>
        </w:rPr>
        <w:t>Proposal 12:</w:t>
      </w:r>
      <w:r>
        <w:rPr>
          <w:rFonts w:hint="eastAsia"/>
          <w:i/>
          <w:iCs/>
          <w:sz w:val="20"/>
          <w:szCs w:val="20"/>
        </w:rPr>
        <w:t xml:space="preserve"> Enhanced resource configuration and reporting mechanisms need to be investigated to facilitate the exchange of assistance information, which can be either implicit or explicit.</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rFonts w:hint="eastAsia"/>
          <w:i/>
          <w:iCs/>
          <w:sz w:val="20"/>
          <w:szCs w:val="20"/>
        </w:rPr>
      </w:pPr>
      <w:r>
        <w:rPr>
          <w:rFonts w:hint="eastAsia"/>
          <w:b/>
          <w:bCs/>
          <w:i/>
          <w:iCs/>
          <w:sz w:val="20"/>
          <w:szCs w:val="20"/>
        </w:rPr>
        <w:t xml:space="preserve">Proposal 13: </w:t>
      </w:r>
      <w:r>
        <w:rPr>
          <w:rFonts w:hint="eastAsia" w:eastAsia="Times New Roman"/>
          <w:i/>
          <w:iCs/>
          <w:sz w:val="20"/>
          <w:szCs w:val="20"/>
          <w:lang w:val="en-GB"/>
        </w:rPr>
        <w:t xml:space="preserve">To facilitate the AI/ML based Tx-Rx beam pair prediction, </w:t>
      </w:r>
      <w:r>
        <w:rPr>
          <w:rFonts w:hint="eastAsia"/>
          <w:i/>
          <w:iCs/>
          <w:sz w:val="20"/>
          <w:szCs w:val="20"/>
          <w:lang w:val="en-US" w:eastAsia="zh-CN"/>
        </w:rPr>
        <w:t xml:space="preserve">enhancements on specification can be studied to support P1 </w:t>
      </w:r>
      <w:r>
        <w:rPr>
          <w:rFonts w:hint="eastAsia" w:eastAsia="Times New Roman"/>
          <w:i/>
          <w:iCs/>
          <w:sz w:val="20"/>
          <w:szCs w:val="20"/>
          <w:lang w:val="en-GB"/>
        </w:rPr>
        <w:t>with potentially enhanced beam reporting and indication mechanism.</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rFonts w:hint="eastAsia" w:eastAsia="Times New Roman"/>
          <w:i/>
          <w:iCs/>
          <w:sz w:val="20"/>
          <w:szCs w:val="20"/>
          <w:lang w:val="en-GB"/>
        </w:rPr>
      </w:pPr>
      <w:r>
        <w:rPr>
          <w:rFonts w:hint="eastAsia"/>
          <w:b/>
          <w:bCs/>
          <w:i/>
          <w:iCs/>
          <w:sz w:val="20"/>
          <w:szCs w:val="20"/>
        </w:rPr>
        <w:t xml:space="preserve">Proposal 14: </w:t>
      </w:r>
      <w:r>
        <w:rPr>
          <w:rFonts w:hint="eastAsia"/>
          <w:i/>
          <w:iCs/>
          <w:sz w:val="20"/>
          <w:szCs w:val="20"/>
          <w:lang w:val="en-US" w:eastAsia="zh-CN"/>
        </w:rPr>
        <w:t>F</w:t>
      </w:r>
      <w:r>
        <w:rPr>
          <w:rFonts w:hint="eastAsia" w:eastAsia="Times New Roman"/>
          <w:i/>
          <w:iCs/>
          <w:sz w:val="20"/>
          <w:szCs w:val="20"/>
          <w:lang w:val="en-GB"/>
        </w:rPr>
        <w:t>urther research</w:t>
      </w:r>
      <w:r>
        <w:rPr>
          <w:rFonts w:hint="eastAsia" w:eastAsia="Times New Roman"/>
          <w:i/>
          <w:iCs/>
          <w:sz w:val="20"/>
          <w:szCs w:val="20"/>
          <w:lang w:val="en-US" w:eastAsia="zh-CN"/>
        </w:rPr>
        <w:t xml:space="preserve"> </w:t>
      </w:r>
      <w:r>
        <w:rPr>
          <w:rFonts w:hint="eastAsia" w:eastAsia="Times New Roman"/>
          <w:i/>
          <w:iCs/>
          <w:sz w:val="20"/>
          <w:szCs w:val="20"/>
          <w:lang w:val="en-GB"/>
        </w:rPr>
        <w:t xml:space="preserve">on enhanced signaling mechanisms and auxiliary information transmission </w:t>
      </w:r>
      <w:r>
        <w:rPr>
          <w:rFonts w:hint="eastAsia" w:eastAsia="Times New Roman"/>
          <w:i/>
          <w:iCs/>
          <w:sz w:val="20"/>
          <w:szCs w:val="20"/>
          <w:lang w:val="en-US" w:eastAsia="zh-CN"/>
        </w:rPr>
        <w:t xml:space="preserve">is needed </w:t>
      </w:r>
      <w:r>
        <w:rPr>
          <w:rFonts w:hint="eastAsia" w:eastAsia="Times New Roman"/>
          <w:i/>
          <w:iCs/>
          <w:sz w:val="20"/>
          <w:szCs w:val="20"/>
          <w:lang w:val="en-GB"/>
        </w:rPr>
        <w:t>to enable training data collection.</w:t>
      </w:r>
    </w:p>
    <w:p>
      <w:pPr>
        <w:bidi w:val="0"/>
        <w:snapToGrid w:val="0"/>
        <w:spacing w:before="109" w:beforeLines="30" w:after="109" w:afterLines="30" w:line="288" w:lineRule="auto"/>
        <w:jc w:val="both"/>
      </w:pPr>
    </w:p>
    <w:p>
      <w:pPr>
        <w:numPr>
          <w:ilvl w:val="0"/>
          <w:numId w:val="5"/>
        </w:numPr>
        <w:tabs>
          <w:tab w:val="clear" w:pos="432"/>
        </w:tabs>
        <w:snapToGrid w:val="0"/>
        <w:spacing w:before="120" w:beforeLines="50" w:after="120" w:afterLines="50" w:line="288" w:lineRule="auto"/>
        <w:ind w:left="567" w:hanging="567"/>
        <w:jc w:val="both"/>
        <w:outlineLvl w:val="0"/>
        <w:rPr>
          <w:b/>
          <w:sz w:val="28"/>
          <w:szCs w:val="28"/>
        </w:rPr>
      </w:pPr>
      <w:r>
        <w:rPr>
          <w:rFonts w:hint="eastAsia"/>
          <w:b/>
          <w:sz w:val="28"/>
          <w:szCs w:val="28"/>
        </w:rPr>
        <w:t>References</w:t>
      </w:r>
    </w:p>
    <w:p>
      <w:pPr>
        <w:pStyle w:val="73"/>
        <w:numPr>
          <w:ilvl w:val="0"/>
          <w:numId w:val="12"/>
        </w:numPr>
        <w:snapToGrid w:val="0"/>
        <w:spacing w:before="72" w:beforeLines="30" w:after="72" w:afterLines="30" w:line="288" w:lineRule="auto"/>
        <w:jc w:val="both"/>
        <w:rPr>
          <w:bCs/>
          <w:sz w:val="20"/>
          <w:szCs w:val="20"/>
        </w:rPr>
      </w:pPr>
      <w:r>
        <w:rPr>
          <w:rFonts w:hint="eastAsia"/>
          <w:bCs/>
          <w:sz w:val="20"/>
          <w:szCs w:val="20"/>
        </w:rPr>
        <w:t>R1-2205695, Session notes for 9.2 (Study on AI/ ML for NR air interface), Ad-hoc Chair (CMCC), 3GPP TSG RAN1#109-e, May 2022.</w:t>
      </w:r>
    </w:p>
    <w:p>
      <w:pPr>
        <w:pStyle w:val="73"/>
        <w:numPr>
          <w:ilvl w:val="0"/>
          <w:numId w:val="12"/>
        </w:numPr>
        <w:snapToGrid w:val="0"/>
        <w:spacing w:before="72" w:beforeLines="30" w:after="72" w:afterLines="30" w:line="288" w:lineRule="auto"/>
        <w:jc w:val="both"/>
        <w:rPr>
          <w:bCs/>
          <w:sz w:val="20"/>
          <w:szCs w:val="20"/>
        </w:rPr>
      </w:pPr>
      <w:r>
        <w:rPr>
          <w:rFonts w:eastAsia="等线"/>
          <w:iCs/>
          <w:color w:val="auto"/>
          <w:sz w:val="20"/>
          <w:szCs w:val="20"/>
          <w:lang w:eastAsia="zh-CN"/>
        </w:rPr>
        <w:t>R1-2207874</w:t>
      </w:r>
      <w:r>
        <w:rPr>
          <w:rFonts w:hint="eastAsia"/>
          <w:bCs/>
          <w:sz w:val="20"/>
          <w:szCs w:val="20"/>
        </w:rPr>
        <w:t xml:space="preserve">, </w:t>
      </w:r>
      <w:r>
        <w:rPr>
          <w:color w:val="auto"/>
          <w:sz w:val="20"/>
          <w:szCs w:val="20"/>
        </w:rPr>
        <w:t>Summary#4 for other aspects on AI/ML for beam management</w:t>
      </w:r>
      <w:r>
        <w:rPr>
          <w:rFonts w:hint="eastAsia"/>
          <w:bCs/>
          <w:sz w:val="20"/>
          <w:szCs w:val="20"/>
        </w:rPr>
        <w:t xml:space="preserve">, </w:t>
      </w:r>
      <w:r>
        <w:rPr>
          <w:iCs/>
          <w:color w:val="auto"/>
          <w:sz w:val="20"/>
          <w:szCs w:val="20"/>
        </w:rPr>
        <w:t>Moderator (</w:t>
      </w:r>
      <w:r>
        <w:rPr>
          <w:rFonts w:hint="eastAsia"/>
          <w:iCs/>
          <w:color w:val="auto"/>
          <w:sz w:val="20"/>
          <w:szCs w:val="20"/>
          <w:lang w:val="en-US" w:eastAsia="zh-CN"/>
        </w:rPr>
        <w:t>OPPO</w:t>
      </w:r>
      <w:r>
        <w:rPr>
          <w:iCs/>
          <w:color w:val="auto"/>
          <w:sz w:val="20"/>
          <w:szCs w:val="20"/>
        </w:rPr>
        <w:t>)</w:t>
      </w:r>
      <w:r>
        <w:rPr>
          <w:rFonts w:hint="eastAsia"/>
          <w:bCs/>
          <w:sz w:val="20"/>
          <w:szCs w:val="20"/>
        </w:rPr>
        <w:t>, 3GPP TSG RAN1#1</w:t>
      </w:r>
      <w:r>
        <w:rPr>
          <w:rFonts w:hint="eastAsia"/>
          <w:bCs/>
          <w:sz w:val="20"/>
          <w:szCs w:val="20"/>
          <w:lang w:val="en-US" w:eastAsia="zh-CN"/>
        </w:rPr>
        <w:t>10</w:t>
      </w:r>
      <w:r>
        <w:rPr>
          <w:rFonts w:hint="eastAsia"/>
          <w:bCs/>
          <w:sz w:val="20"/>
          <w:szCs w:val="20"/>
        </w:rPr>
        <w:t xml:space="preserve">, </w:t>
      </w:r>
      <w:r>
        <w:rPr>
          <w:rFonts w:hint="eastAsia"/>
          <w:bCs/>
          <w:sz w:val="20"/>
          <w:szCs w:val="20"/>
          <w:lang w:val="en-US" w:eastAsia="zh-CN"/>
        </w:rPr>
        <w:t xml:space="preserve">August </w:t>
      </w:r>
      <w:r>
        <w:rPr>
          <w:rFonts w:hint="eastAsia"/>
          <w:bCs/>
          <w:sz w:val="20"/>
          <w:szCs w:val="20"/>
        </w:rPr>
        <w:t>2022.</w:t>
      </w:r>
    </w:p>
    <w:p>
      <w:pPr>
        <w:pStyle w:val="73"/>
        <w:numPr>
          <w:ilvl w:val="0"/>
          <w:numId w:val="12"/>
        </w:numPr>
        <w:snapToGrid w:val="0"/>
        <w:spacing w:before="72" w:beforeLines="30" w:after="72" w:afterLines="30" w:line="288" w:lineRule="auto"/>
        <w:jc w:val="both"/>
        <w:rPr>
          <w:bCs/>
          <w:sz w:val="20"/>
          <w:szCs w:val="20"/>
        </w:rPr>
      </w:pPr>
      <w:r>
        <w:rPr>
          <w:rFonts w:hint="eastAsia"/>
          <w:bCs/>
          <w:sz w:val="20"/>
          <w:szCs w:val="20"/>
        </w:rPr>
        <w:t>RP-210620, Enhancements on predictable mobility for beam management, ZTE Corporation, 3GPP TSG RAN#91-e, March 2021.</w:t>
      </w:r>
    </w:p>
    <w:p>
      <w:pPr>
        <w:pStyle w:val="73"/>
        <w:numPr>
          <w:ilvl w:val="0"/>
          <w:numId w:val="12"/>
        </w:numPr>
        <w:snapToGrid w:val="0"/>
        <w:spacing w:before="72" w:beforeLines="30" w:after="72" w:afterLines="30" w:line="288" w:lineRule="auto"/>
        <w:jc w:val="both"/>
        <w:rPr>
          <w:bCs/>
          <w:sz w:val="20"/>
          <w:szCs w:val="20"/>
        </w:rPr>
      </w:pPr>
      <w:r>
        <w:rPr>
          <w:rFonts w:hint="eastAsia"/>
          <w:bCs/>
          <w:sz w:val="20"/>
          <w:szCs w:val="20"/>
        </w:rPr>
        <w:t>RWS-210481, Enhancements on predictable mobility for beam management, ZTE Corporation, 3GPP TSG RAN REL-18 workshop, June 2021.</w:t>
      </w:r>
    </w:p>
    <w:p>
      <w:pPr>
        <w:pStyle w:val="73"/>
        <w:numPr>
          <w:ilvl w:val="0"/>
          <w:numId w:val="12"/>
        </w:numPr>
        <w:snapToGrid w:val="0"/>
        <w:spacing w:before="72" w:beforeLines="30" w:after="72" w:afterLines="30" w:line="288" w:lineRule="auto"/>
        <w:jc w:val="both"/>
        <w:rPr>
          <w:bCs/>
          <w:sz w:val="20"/>
          <w:szCs w:val="20"/>
        </w:rPr>
      </w:pPr>
      <w:r>
        <w:rPr>
          <w:rFonts w:hint="eastAsia"/>
          <w:bCs/>
          <w:sz w:val="20"/>
          <w:szCs w:val="20"/>
        </w:rPr>
        <w:t>R1-220</w:t>
      </w:r>
      <w:r>
        <w:rPr>
          <w:rFonts w:hint="eastAsia"/>
          <w:bCs/>
          <w:sz w:val="20"/>
          <w:szCs w:val="20"/>
          <w:lang w:val="en-US" w:eastAsia="zh-CN"/>
        </w:rPr>
        <w:t>8523</w:t>
      </w:r>
      <w:r>
        <w:rPr>
          <w:rFonts w:hint="eastAsia"/>
          <w:bCs/>
          <w:sz w:val="20"/>
          <w:szCs w:val="20"/>
        </w:rPr>
        <w:t>, Evaluation on AI for beam management, ZTE Corporation, 3GPP TSG RAN1#110</w:t>
      </w:r>
      <w:r>
        <w:rPr>
          <w:rFonts w:hint="eastAsia"/>
          <w:bCs/>
          <w:sz w:val="20"/>
          <w:szCs w:val="20"/>
          <w:lang w:val="en-US" w:eastAsia="zh-CN"/>
        </w:rPr>
        <w:t>-bis-e</w:t>
      </w:r>
      <w:r>
        <w:rPr>
          <w:rFonts w:hint="eastAsia"/>
          <w:bCs/>
          <w:sz w:val="20"/>
          <w:szCs w:val="20"/>
        </w:rPr>
        <w:t xml:space="preserve">, </w:t>
      </w:r>
      <w:r>
        <w:rPr>
          <w:rFonts w:hint="eastAsia"/>
          <w:bCs/>
          <w:sz w:val="20"/>
          <w:szCs w:val="20"/>
          <w:lang w:val="en-US" w:eastAsia="zh-CN"/>
        </w:rPr>
        <w:t xml:space="preserve">October </w:t>
      </w:r>
      <w:r>
        <w:rPr>
          <w:rFonts w:hint="eastAsia"/>
          <w:bCs/>
          <w:sz w:val="20"/>
          <w:szCs w:val="20"/>
        </w:rPr>
        <w:t>2022.</w:t>
      </w:r>
      <w:bookmarkStart w:id="3" w:name="_GoBack"/>
      <w:bookmarkEnd w:id="3"/>
    </w:p>
    <w:p>
      <w:pPr>
        <w:pStyle w:val="73"/>
        <w:snapToGrid w:val="0"/>
        <w:rPr>
          <w:bCs/>
          <w:sz w:val="20"/>
          <w:szCs w:val="20"/>
        </w:rPr>
      </w:pP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AAAAAD+HelveticaNeue-Light">
    <w:altName w:val="宋体"/>
    <w:panose1 w:val="00000000000000000000"/>
    <w:charset w:val="86"/>
    <w:family w:val="swiss"/>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F02F3F"/>
    <w:multiLevelType w:val="multilevel"/>
    <w:tmpl w:val="A7F02F3F"/>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717" w:hanging="575"/>
      </w:pPr>
      <w:rPr>
        <w:rFonts w:hint="default"/>
      </w:rPr>
    </w:lvl>
    <w:lvl w:ilvl="2" w:tentative="0">
      <w:start w:val="1"/>
      <w:numFmt w:val="decimal"/>
      <w:pStyle w:val="5"/>
      <w:lvlText w:val="%1.%2.%3."/>
      <w:lvlJc w:val="left"/>
      <w:pPr>
        <w:ind w:left="720" w:hanging="720"/>
      </w:pPr>
      <w:rPr>
        <w:rFonts w:hint="default"/>
        <w:sz w:val="21"/>
        <w:szCs w:val="21"/>
      </w:rPr>
    </w:lvl>
    <w:lvl w:ilvl="3" w:tentative="0">
      <w:start w:val="1"/>
      <w:numFmt w:val="decimal"/>
      <w:pStyle w:val="6"/>
      <w:lvlText w:val="%1.%2.%3.%4."/>
      <w:lvlJc w:val="left"/>
      <w:pPr>
        <w:ind w:left="864" w:hanging="864"/>
      </w:pPr>
      <w:rPr>
        <w:rFonts w:hint="default"/>
      </w:rPr>
    </w:lvl>
    <w:lvl w:ilvl="4" w:tentative="0">
      <w:start w:val="1"/>
      <w:numFmt w:val="decimal"/>
      <w:pStyle w:val="7"/>
      <w:lvlText w:val="%1.%2.%3.%4.%5."/>
      <w:lvlJc w:val="left"/>
      <w:pPr>
        <w:ind w:left="1008"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1">
    <w:nsid w:val="F956D8D7"/>
    <w:multiLevelType w:val="singleLevel"/>
    <w:tmpl w:val="F956D8D7"/>
    <w:lvl w:ilvl="0" w:tentative="0">
      <w:start w:val="1"/>
      <w:numFmt w:val="decimal"/>
      <w:suff w:val="space"/>
      <w:lvlText w:val="[%1]"/>
      <w:lvlJc w:val="left"/>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060D3FFB"/>
    <w:multiLevelType w:val="multilevel"/>
    <w:tmpl w:val="060D3FFB"/>
    <w:lvl w:ilvl="0" w:tentative="0">
      <w:start w:val="1"/>
      <w:numFmt w:val="bullet"/>
      <w:pStyle w:val="7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65E7F0A"/>
    <w:multiLevelType w:val="multilevel"/>
    <w:tmpl w:val="065E7F0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5340F3B"/>
    <w:multiLevelType w:val="multilevel"/>
    <w:tmpl w:val="15340F3B"/>
    <w:lvl w:ilvl="0" w:tentative="0">
      <w:start w:val="1"/>
      <w:numFmt w:val="bullet"/>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6">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7">
    <w:nsid w:val="64695DF4"/>
    <w:multiLevelType w:val="multilevel"/>
    <w:tmpl w:val="64695DF4"/>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69E95597"/>
    <w:multiLevelType w:val="multilevel"/>
    <w:tmpl w:val="69E95597"/>
    <w:lvl w:ilvl="0" w:tentative="0">
      <w:start w:val="1"/>
      <w:numFmt w:val="bullet"/>
      <w:lvlText w:val=""/>
      <w:lvlJc w:val="left"/>
      <w:pPr>
        <w:ind w:left="420" w:hanging="420"/>
      </w:pPr>
      <w:rPr>
        <w:rFonts w:hint="default" w:ascii="Symbol" w:hAnsi="Symbol" w:eastAsia="MS Mincho" w:cs="Times New Roman"/>
      </w:rPr>
    </w:lvl>
    <w:lvl w:ilvl="1" w:tentative="0">
      <w:start w:val="1"/>
      <w:numFmt w:val="bullet"/>
      <w:lvlText w:val=""/>
      <w:lvlJc w:val="left"/>
      <w:pPr>
        <w:ind w:left="840" w:hanging="420"/>
      </w:pPr>
      <w:rPr>
        <w:rFonts w:hint="default" w:ascii="Symbol" w:hAnsi="Symbol" w:eastAsia="MS Mincho" w:cs="Times New Roman"/>
      </w:rPr>
    </w:lvl>
    <w:lvl w:ilvl="2" w:tentative="0">
      <w:start w:val="1"/>
      <w:numFmt w:val="bullet"/>
      <w:lvlText w:val=""/>
      <w:lvlJc w:val="left"/>
      <w:pPr>
        <w:ind w:left="1260" w:hanging="420"/>
      </w:pPr>
      <w:rPr>
        <w:rFonts w:hint="default" w:ascii="Symbol" w:hAnsi="Symbol" w:eastAsia="MS Mincho"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8BF0C4B"/>
    <w:multiLevelType w:val="multilevel"/>
    <w:tmpl w:val="78BF0C4B"/>
    <w:lvl w:ilvl="0" w:tentative="0">
      <w:start w:val="5"/>
      <w:numFmt w:val="bullet"/>
      <w:lvlText w:val=""/>
      <w:lvlJc w:val="left"/>
      <w:pPr>
        <w:ind w:left="420" w:hanging="420"/>
      </w:pPr>
      <w:rPr>
        <w:rFonts w:hint="default" w:ascii="Symbol" w:hAnsi="Symbol" w:eastAsia="Batang" w:cs="Times New Roman"/>
      </w:rPr>
    </w:lvl>
    <w:lvl w:ilvl="1" w:tentative="0">
      <w:start w:val="0"/>
      <w:numFmt w:val="bullet"/>
      <w:lvlText w:val="-"/>
      <w:lvlJc w:val="left"/>
      <w:pPr>
        <w:ind w:left="840" w:hanging="420"/>
      </w:pPr>
      <w:rPr>
        <w:rFonts w:hint="default" w:ascii="Times New Roman" w:hAnsi="Times New Roman" w:eastAsia="Times New Roman"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7AAB33D0"/>
    <w:multiLevelType w:val="multilevel"/>
    <w:tmpl w:val="7AAB33D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9"/>
  </w:num>
  <w:num w:numId="4">
    <w:abstractNumId w:val="3"/>
  </w:num>
  <w:num w:numId="5">
    <w:abstractNumId w:val="6"/>
  </w:num>
  <w:num w:numId="6">
    <w:abstractNumId w:val="5"/>
  </w:num>
  <w:num w:numId="7">
    <w:abstractNumId w:val="11"/>
  </w:num>
  <w:num w:numId="8">
    <w:abstractNumId w:val="4"/>
  </w:num>
  <w:num w:numId="9">
    <w:abstractNumId w:val="7"/>
  </w:num>
  <w:num w:numId="10">
    <w:abstractNumId w:val="10"/>
  </w:num>
  <w:num w:numId="11">
    <w:abstractNumId w:val="8"/>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321F"/>
    <w:rsid w:val="00003BA1"/>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A2A"/>
    <w:rsid w:val="00015F67"/>
    <w:rsid w:val="000164F2"/>
    <w:rsid w:val="00016A8E"/>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50"/>
    <w:rsid w:val="00036A9F"/>
    <w:rsid w:val="00037260"/>
    <w:rsid w:val="0003750E"/>
    <w:rsid w:val="00037AF2"/>
    <w:rsid w:val="00037F59"/>
    <w:rsid w:val="000402A0"/>
    <w:rsid w:val="000412E1"/>
    <w:rsid w:val="00041498"/>
    <w:rsid w:val="00041506"/>
    <w:rsid w:val="00041569"/>
    <w:rsid w:val="000419B4"/>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C99"/>
    <w:rsid w:val="00046EFA"/>
    <w:rsid w:val="00046F99"/>
    <w:rsid w:val="000476D8"/>
    <w:rsid w:val="00047EFF"/>
    <w:rsid w:val="00050153"/>
    <w:rsid w:val="000505A9"/>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AC7"/>
    <w:rsid w:val="00057BD5"/>
    <w:rsid w:val="00057CF8"/>
    <w:rsid w:val="00057EA7"/>
    <w:rsid w:val="00057F2B"/>
    <w:rsid w:val="00060094"/>
    <w:rsid w:val="000600F5"/>
    <w:rsid w:val="00060A18"/>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3C2"/>
    <w:rsid w:val="000644E3"/>
    <w:rsid w:val="0006451A"/>
    <w:rsid w:val="0006472F"/>
    <w:rsid w:val="00064A39"/>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2C3"/>
    <w:rsid w:val="000664D9"/>
    <w:rsid w:val="00066556"/>
    <w:rsid w:val="000665ED"/>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E20"/>
    <w:rsid w:val="0007636A"/>
    <w:rsid w:val="000764DA"/>
    <w:rsid w:val="000765D9"/>
    <w:rsid w:val="0007666D"/>
    <w:rsid w:val="000768A6"/>
    <w:rsid w:val="0007696E"/>
    <w:rsid w:val="00076C05"/>
    <w:rsid w:val="00076E2D"/>
    <w:rsid w:val="0007723B"/>
    <w:rsid w:val="000775EA"/>
    <w:rsid w:val="000776AF"/>
    <w:rsid w:val="000777B3"/>
    <w:rsid w:val="00077BF8"/>
    <w:rsid w:val="00077CAD"/>
    <w:rsid w:val="00077EB8"/>
    <w:rsid w:val="000800AF"/>
    <w:rsid w:val="000801BC"/>
    <w:rsid w:val="0008029C"/>
    <w:rsid w:val="0008046A"/>
    <w:rsid w:val="00080A41"/>
    <w:rsid w:val="00080A89"/>
    <w:rsid w:val="00080BB6"/>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6248"/>
    <w:rsid w:val="000864DC"/>
    <w:rsid w:val="00086793"/>
    <w:rsid w:val="000867CC"/>
    <w:rsid w:val="00086B66"/>
    <w:rsid w:val="00086C0D"/>
    <w:rsid w:val="000871F4"/>
    <w:rsid w:val="00087671"/>
    <w:rsid w:val="000902F8"/>
    <w:rsid w:val="000903CA"/>
    <w:rsid w:val="00090B8B"/>
    <w:rsid w:val="00090C79"/>
    <w:rsid w:val="00090D90"/>
    <w:rsid w:val="00090E09"/>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822"/>
    <w:rsid w:val="00096998"/>
    <w:rsid w:val="00096B1B"/>
    <w:rsid w:val="00096F89"/>
    <w:rsid w:val="00096FC1"/>
    <w:rsid w:val="00097059"/>
    <w:rsid w:val="00097434"/>
    <w:rsid w:val="0009766A"/>
    <w:rsid w:val="000976F6"/>
    <w:rsid w:val="00097842"/>
    <w:rsid w:val="000979FA"/>
    <w:rsid w:val="00097C34"/>
    <w:rsid w:val="000A030E"/>
    <w:rsid w:val="000A06DC"/>
    <w:rsid w:val="000A1279"/>
    <w:rsid w:val="000A1428"/>
    <w:rsid w:val="000A145E"/>
    <w:rsid w:val="000A179C"/>
    <w:rsid w:val="000A1A8F"/>
    <w:rsid w:val="000A1AB7"/>
    <w:rsid w:val="000A1C7B"/>
    <w:rsid w:val="000A1C7D"/>
    <w:rsid w:val="000A1E25"/>
    <w:rsid w:val="000A1E32"/>
    <w:rsid w:val="000A23F3"/>
    <w:rsid w:val="000A2795"/>
    <w:rsid w:val="000A2BC2"/>
    <w:rsid w:val="000A2BF8"/>
    <w:rsid w:val="000A30E8"/>
    <w:rsid w:val="000A3317"/>
    <w:rsid w:val="000A33DB"/>
    <w:rsid w:val="000A3632"/>
    <w:rsid w:val="000A383F"/>
    <w:rsid w:val="000A3B66"/>
    <w:rsid w:val="000A3C1B"/>
    <w:rsid w:val="000A4263"/>
    <w:rsid w:val="000A436D"/>
    <w:rsid w:val="000A49BE"/>
    <w:rsid w:val="000A53B8"/>
    <w:rsid w:val="000A568B"/>
    <w:rsid w:val="000A56C6"/>
    <w:rsid w:val="000A61C7"/>
    <w:rsid w:val="000A624D"/>
    <w:rsid w:val="000A62EA"/>
    <w:rsid w:val="000A6303"/>
    <w:rsid w:val="000A654E"/>
    <w:rsid w:val="000A777F"/>
    <w:rsid w:val="000B00E0"/>
    <w:rsid w:val="000B0369"/>
    <w:rsid w:val="000B0383"/>
    <w:rsid w:val="000B0395"/>
    <w:rsid w:val="000B1A32"/>
    <w:rsid w:val="000B2838"/>
    <w:rsid w:val="000B2BAB"/>
    <w:rsid w:val="000B2E16"/>
    <w:rsid w:val="000B332B"/>
    <w:rsid w:val="000B3458"/>
    <w:rsid w:val="000B3883"/>
    <w:rsid w:val="000B3BA7"/>
    <w:rsid w:val="000B3FCA"/>
    <w:rsid w:val="000B41A0"/>
    <w:rsid w:val="000B4991"/>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571"/>
    <w:rsid w:val="000C7D1C"/>
    <w:rsid w:val="000D000B"/>
    <w:rsid w:val="000D05EC"/>
    <w:rsid w:val="000D09B9"/>
    <w:rsid w:val="000D0C3A"/>
    <w:rsid w:val="000D0D44"/>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8E5"/>
    <w:rsid w:val="000D4C91"/>
    <w:rsid w:val="000D4C97"/>
    <w:rsid w:val="000D4ECB"/>
    <w:rsid w:val="000D58E6"/>
    <w:rsid w:val="000D59DB"/>
    <w:rsid w:val="000D5AC0"/>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225"/>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0CB"/>
    <w:rsid w:val="000E54DD"/>
    <w:rsid w:val="000E583A"/>
    <w:rsid w:val="000E5CD1"/>
    <w:rsid w:val="000E5F38"/>
    <w:rsid w:val="000E6036"/>
    <w:rsid w:val="000E636A"/>
    <w:rsid w:val="000E6840"/>
    <w:rsid w:val="000E69C4"/>
    <w:rsid w:val="000E6DFB"/>
    <w:rsid w:val="000E7188"/>
    <w:rsid w:val="000E7ADF"/>
    <w:rsid w:val="000F01F5"/>
    <w:rsid w:val="000F0A07"/>
    <w:rsid w:val="000F0F00"/>
    <w:rsid w:val="000F104F"/>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689"/>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E79"/>
    <w:rsid w:val="000F7F22"/>
    <w:rsid w:val="001002A5"/>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19A2"/>
    <w:rsid w:val="00112302"/>
    <w:rsid w:val="0011277E"/>
    <w:rsid w:val="00112C2B"/>
    <w:rsid w:val="00112E6C"/>
    <w:rsid w:val="00113195"/>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66D4"/>
    <w:rsid w:val="00116A71"/>
    <w:rsid w:val="00116B77"/>
    <w:rsid w:val="00116CE3"/>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382"/>
    <w:rsid w:val="001266BA"/>
    <w:rsid w:val="00126766"/>
    <w:rsid w:val="00126B05"/>
    <w:rsid w:val="00126C3E"/>
    <w:rsid w:val="00127079"/>
    <w:rsid w:val="00127360"/>
    <w:rsid w:val="0012737F"/>
    <w:rsid w:val="001279FE"/>
    <w:rsid w:val="00130177"/>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282"/>
    <w:rsid w:val="0016571C"/>
    <w:rsid w:val="00165BDB"/>
    <w:rsid w:val="00166659"/>
    <w:rsid w:val="00167146"/>
    <w:rsid w:val="00167FDF"/>
    <w:rsid w:val="001705C6"/>
    <w:rsid w:val="00170C25"/>
    <w:rsid w:val="00170D4E"/>
    <w:rsid w:val="00171303"/>
    <w:rsid w:val="0017169D"/>
    <w:rsid w:val="00171A27"/>
    <w:rsid w:val="00171EE9"/>
    <w:rsid w:val="00172053"/>
    <w:rsid w:val="001725D6"/>
    <w:rsid w:val="00172A27"/>
    <w:rsid w:val="00172DAB"/>
    <w:rsid w:val="0017303B"/>
    <w:rsid w:val="001732CF"/>
    <w:rsid w:val="001733A5"/>
    <w:rsid w:val="001735EF"/>
    <w:rsid w:val="00173748"/>
    <w:rsid w:val="00173A32"/>
    <w:rsid w:val="00173AF4"/>
    <w:rsid w:val="00173C4E"/>
    <w:rsid w:val="0017400C"/>
    <w:rsid w:val="001740D8"/>
    <w:rsid w:val="001746CD"/>
    <w:rsid w:val="00174711"/>
    <w:rsid w:val="00174885"/>
    <w:rsid w:val="00174BB2"/>
    <w:rsid w:val="00174C3B"/>
    <w:rsid w:val="00175018"/>
    <w:rsid w:val="0017525F"/>
    <w:rsid w:val="00175977"/>
    <w:rsid w:val="00175D67"/>
    <w:rsid w:val="00175F47"/>
    <w:rsid w:val="0017626A"/>
    <w:rsid w:val="00176629"/>
    <w:rsid w:val="00176D05"/>
    <w:rsid w:val="00177475"/>
    <w:rsid w:val="0017785F"/>
    <w:rsid w:val="00177FA7"/>
    <w:rsid w:val="001801D5"/>
    <w:rsid w:val="0018071A"/>
    <w:rsid w:val="001808FC"/>
    <w:rsid w:val="00180C8E"/>
    <w:rsid w:val="001813B0"/>
    <w:rsid w:val="00181632"/>
    <w:rsid w:val="00181961"/>
    <w:rsid w:val="00182172"/>
    <w:rsid w:val="001829F9"/>
    <w:rsid w:val="00182D63"/>
    <w:rsid w:val="001830C8"/>
    <w:rsid w:val="00183A17"/>
    <w:rsid w:val="00183A86"/>
    <w:rsid w:val="00183CD7"/>
    <w:rsid w:val="00184248"/>
    <w:rsid w:val="0018448C"/>
    <w:rsid w:val="001844E3"/>
    <w:rsid w:val="0018466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956"/>
    <w:rsid w:val="00191B0E"/>
    <w:rsid w:val="00192169"/>
    <w:rsid w:val="00192398"/>
    <w:rsid w:val="001923B8"/>
    <w:rsid w:val="001923FD"/>
    <w:rsid w:val="0019290C"/>
    <w:rsid w:val="00192C67"/>
    <w:rsid w:val="00192CDE"/>
    <w:rsid w:val="00192DF3"/>
    <w:rsid w:val="0019333A"/>
    <w:rsid w:val="001933D2"/>
    <w:rsid w:val="00193986"/>
    <w:rsid w:val="00193D5A"/>
    <w:rsid w:val="00193E0C"/>
    <w:rsid w:val="00193FB6"/>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34C"/>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56C"/>
    <w:rsid w:val="001B1972"/>
    <w:rsid w:val="001B1A5F"/>
    <w:rsid w:val="001B2A16"/>
    <w:rsid w:val="001B2CE3"/>
    <w:rsid w:val="001B345C"/>
    <w:rsid w:val="001B38B2"/>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CC"/>
    <w:rsid w:val="001C16C8"/>
    <w:rsid w:val="001C172B"/>
    <w:rsid w:val="001C1ED7"/>
    <w:rsid w:val="001C22A8"/>
    <w:rsid w:val="001C2ECF"/>
    <w:rsid w:val="001C308C"/>
    <w:rsid w:val="001C35F5"/>
    <w:rsid w:val="001C3942"/>
    <w:rsid w:val="001C3A1C"/>
    <w:rsid w:val="001C3CA4"/>
    <w:rsid w:val="001C3E01"/>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6F81"/>
    <w:rsid w:val="001C7A00"/>
    <w:rsid w:val="001C7B17"/>
    <w:rsid w:val="001C7E03"/>
    <w:rsid w:val="001D00E8"/>
    <w:rsid w:val="001D0131"/>
    <w:rsid w:val="001D041A"/>
    <w:rsid w:val="001D0846"/>
    <w:rsid w:val="001D0969"/>
    <w:rsid w:val="001D0AE5"/>
    <w:rsid w:val="001D0D3A"/>
    <w:rsid w:val="001D0D60"/>
    <w:rsid w:val="001D1097"/>
    <w:rsid w:val="001D1182"/>
    <w:rsid w:val="001D1197"/>
    <w:rsid w:val="001D1238"/>
    <w:rsid w:val="001D153C"/>
    <w:rsid w:val="001D171D"/>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6D4"/>
    <w:rsid w:val="001E1705"/>
    <w:rsid w:val="001E1760"/>
    <w:rsid w:val="001E1A77"/>
    <w:rsid w:val="001E1D3A"/>
    <w:rsid w:val="001E2531"/>
    <w:rsid w:val="001E2890"/>
    <w:rsid w:val="001E2A05"/>
    <w:rsid w:val="001E2B19"/>
    <w:rsid w:val="001E2C50"/>
    <w:rsid w:val="001E3024"/>
    <w:rsid w:val="001E308B"/>
    <w:rsid w:val="001E327B"/>
    <w:rsid w:val="001E35C2"/>
    <w:rsid w:val="001E38F2"/>
    <w:rsid w:val="001E3D04"/>
    <w:rsid w:val="001E40FF"/>
    <w:rsid w:val="001E4A01"/>
    <w:rsid w:val="001E500A"/>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F0092"/>
    <w:rsid w:val="001F022C"/>
    <w:rsid w:val="001F07E5"/>
    <w:rsid w:val="001F099E"/>
    <w:rsid w:val="001F0F78"/>
    <w:rsid w:val="001F1E75"/>
    <w:rsid w:val="001F20D6"/>
    <w:rsid w:val="001F20FE"/>
    <w:rsid w:val="001F21B2"/>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6B7"/>
    <w:rsid w:val="002007F6"/>
    <w:rsid w:val="002008F3"/>
    <w:rsid w:val="00200E3F"/>
    <w:rsid w:val="0020130A"/>
    <w:rsid w:val="002016F0"/>
    <w:rsid w:val="00201915"/>
    <w:rsid w:val="00201F2C"/>
    <w:rsid w:val="00201F62"/>
    <w:rsid w:val="00202307"/>
    <w:rsid w:val="002023B1"/>
    <w:rsid w:val="00202570"/>
    <w:rsid w:val="00202851"/>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6A4C"/>
    <w:rsid w:val="00206FFD"/>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5BA"/>
    <w:rsid w:val="00223F67"/>
    <w:rsid w:val="002245BF"/>
    <w:rsid w:val="002247A3"/>
    <w:rsid w:val="00224C7C"/>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CC6"/>
    <w:rsid w:val="00232EC6"/>
    <w:rsid w:val="002331E4"/>
    <w:rsid w:val="00233638"/>
    <w:rsid w:val="00233B0D"/>
    <w:rsid w:val="00233D70"/>
    <w:rsid w:val="0023420A"/>
    <w:rsid w:val="002349CC"/>
    <w:rsid w:val="00234EDC"/>
    <w:rsid w:val="002357D4"/>
    <w:rsid w:val="0023589D"/>
    <w:rsid w:val="0023590E"/>
    <w:rsid w:val="00235E20"/>
    <w:rsid w:val="00236533"/>
    <w:rsid w:val="002366CA"/>
    <w:rsid w:val="002373FD"/>
    <w:rsid w:val="00240866"/>
    <w:rsid w:val="00240AEF"/>
    <w:rsid w:val="00240B53"/>
    <w:rsid w:val="00240C3D"/>
    <w:rsid w:val="00240DBC"/>
    <w:rsid w:val="00240EA6"/>
    <w:rsid w:val="00241278"/>
    <w:rsid w:val="002414DB"/>
    <w:rsid w:val="00241BBD"/>
    <w:rsid w:val="00241E46"/>
    <w:rsid w:val="002422C5"/>
    <w:rsid w:val="00242322"/>
    <w:rsid w:val="002424E5"/>
    <w:rsid w:val="0024289A"/>
    <w:rsid w:val="002429EF"/>
    <w:rsid w:val="00242A00"/>
    <w:rsid w:val="00242D34"/>
    <w:rsid w:val="00242EBC"/>
    <w:rsid w:val="002439C6"/>
    <w:rsid w:val="00243C86"/>
    <w:rsid w:val="00244303"/>
    <w:rsid w:val="002444AE"/>
    <w:rsid w:val="00244B6B"/>
    <w:rsid w:val="00244CDA"/>
    <w:rsid w:val="002451C4"/>
    <w:rsid w:val="00245210"/>
    <w:rsid w:val="002463D0"/>
    <w:rsid w:val="002464DA"/>
    <w:rsid w:val="00246617"/>
    <w:rsid w:val="002466D3"/>
    <w:rsid w:val="00246869"/>
    <w:rsid w:val="00246944"/>
    <w:rsid w:val="00246AB3"/>
    <w:rsid w:val="00247879"/>
    <w:rsid w:val="00247A5F"/>
    <w:rsid w:val="00247DF0"/>
    <w:rsid w:val="00250170"/>
    <w:rsid w:val="00250D2F"/>
    <w:rsid w:val="00250D7A"/>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91"/>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DFD"/>
    <w:rsid w:val="00257EF7"/>
    <w:rsid w:val="00257F6E"/>
    <w:rsid w:val="00260094"/>
    <w:rsid w:val="00260387"/>
    <w:rsid w:val="00260817"/>
    <w:rsid w:val="00260F63"/>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5E0A"/>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A10"/>
    <w:rsid w:val="00274B95"/>
    <w:rsid w:val="00274D70"/>
    <w:rsid w:val="00275241"/>
    <w:rsid w:val="00275F47"/>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8EF"/>
    <w:rsid w:val="00282999"/>
    <w:rsid w:val="002829E5"/>
    <w:rsid w:val="00282A7C"/>
    <w:rsid w:val="00282AF5"/>
    <w:rsid w:val="00283513"/>
    <w:rsid w:val="0028387F"/>
    <w:rsid w:val="00283FFE"/>
    <w:rsid w:val="002844D8"/>
    <w:rsid w:val="002845C3"/>
    <w:rsid w:val="00284A55"/>
    <w:rsid w:val="00284B9F"/>
    <w:rsid w:val="00284C5C"/>
    <w:rsid w:val="00284E8B"/>
    <w:rsid w:val="00285621"/>
    <w:rsid w:val="00285C7A"/>
    <w:rsid w:val="002860A4"/>
    <w:rsid w:val="00286516"/>
    <w:rsid w:val="00286B23"/>
    <w:rsid w:val="0028708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6B4"/>
    <w:rsid w:val="002939E1"/>
    <w:rsid w:val="00293B7C"/>
    <w:rsid w:val="00293C1A"/>
    <w:rsid w:val="00293C3A"/>
    <w:rsid w:val="002949A6"/>
    <w:rsid w:val="00294DE8"/>
    <w:rsid w:val="00294FF0"/>
    <w:rsid w:val="002952AD"/>
    <w:rsid w:val="002953ED"/>
    <w:rsid w:val="002954FD"/>
    <w:rsid w:val="002957F2"/>
    <w:rsid w:val="00295920"/>
    <w:rsid w:val="00295957"/>
    <w:rsid w:val="00295C17"/>
    <w:rsid w:val="00295EAF"/>
    <w:rsid w:val="00296126"/>
    <w:rsid w:val="002965EA"/>
    <w:rsid w:val="00296C13"/>
    <w:rsid w:val="00297100"/>
    <w:rsid w:val="0029739A"/>
    <w:rsid w:val="00297525"/>
    <w:rsid w:val="002975E2"/>
    <w:rsid w:val="00297B04"/>
    <w:rsid w:val="00297F72"/>
    <w:rsid w:val="002A025C"/>
    <w:rsid w:val="002A0B91"/>
    <w:rsid w:val="002A1182"/>
    <w:rsid w:val="002A14AE"/>
    <w:rsid w:val="002A184C"/>
    <w:rsid w:val="002A18DD"/>
    <w:rsid w:val="002A19BE"/>
    <w:rsid w:val="002A1A1B"/>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6EA"/>
    <w:rsid w:val="002A6AA5"/>
    <w:rsid w:val="002A6BC3"/>
    <w:rsid w:val="002A6CC1"/>
    <w:rsid w:val="002A6EA5"/>
    <w:rsid w:val="002A7514"/>
    <w:rsid w:val="002A7680"/>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15A"/>
    <w:rsid w:val="002C2349"/>
    <w:rsid w:val="002C2382"/>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5A4"/>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300016"/>
    <w:rsid w:val="00300222"/>
    <w:rsid w:val="00300574"/>
    <w:rsid w:val="0030077F"/>
    <w:rsid w:val="003008CC"/>
    <w:rsid w:val="00300A4D"/>
    <w:rsid w:val="00300A7A"/>
    <w:rsid w:val="00300AE4"/>
    <w:rsid w:val="00300FB1"/>
    <w:rsid w:val="0030181B"/>
    <w:rsid w:val="00301959"/>
    <w:rsid w:val="003019DC"/>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A34"/>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6A9"/>
    <w:rsid w:val="003147A0"/>
    <w:rsid w:val="003148FD"/>
    <w:rsid w:val="00314F17"/>
    <w:rsid w:val="0031501D"/>
    <w:rsid w:val="00315BE0"/>
    <w:rsid w:val="00315D82"/>
    <w:rsid w:val="00315DAC"/>
    <w:rsid w:val="00315F64"/>
    <w:rsid w:val="0031659D"/>
    <w:rsid w:val="00316777"/>
    <w:rsid w:val="003167E8"/>
    <w:rsid w:val="00316DFE"/>
    <w:rsid w:val="0031716E"/>
    <w:rsid w:val="00317B21"/>
    <w:rsid w:val="00317B53"/>
    <w:rsid w:val="00320255"/>
    <w:rsid w:val="003203F8"/>
    <w:rsid w:val="00320907"/>
    <w:rsid w:val="0032090E"/>
    <w:rsid w:val="00320CF6"/>
    <w:rsid w:val="0032146D"/>
    <w:rsid w:val="00321492"/>
    <w:rsid w:val="003218F9"/>
    <w:rsid w:val="00321CDF"/>
    <w:rsid w:val="0032221A"/>
    <w:rsid w:val="0032222C"/>
    <w:rsid w:val="00322642"/>
    <w:rsid w:val="00322EB9"/>
    <w:rsid w:val="00323014"/>
    <w:rsid w:val="00323173"/>
    <w:rsid w:val="00323632"/>
    <w:rsid w:val="003237A4"/>
    <w:rsid w:val="00323910"/>
    <w:rsid w:val="00323BE3"/>
    <w:rsid w:val="00323E61"/>
    <w:rsid w:val="00324109"/>
    <w:rsid w:val="0032414B"/>
    <w:rsid w:val="00324545"/>
    <w:rsid w:val="00324A5A"/>
    <w:rsid w:val="00324AEF"/>
    <w:rsid w:val="00324E55"/>
    <w:rsid w:val="00325130"/>
    <w:rsid w:val="003252E3"/>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2D32"/>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EFC"/>
    <w:rsid w:val="00336163"/>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2F8C"/>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5C3"/>
    <w:rsid w:val="00360A39"/>
    <w:rsid w:val="00360BD4"/>
    <w:rsid w:val="00361927"/>
    <w:rsid w:val="00361DCD"/>
    <w:rsid w:val="00361E83"/>
    <w:rsid w:val="0036217E"/>
    <w:rsid w:val="0036291B"/>
    <w:rsid w:val="00363394"/>
    <w:rsid w:val="00363673"/>
    <w:rsid w:val="00363E97"/>
    <w:rsid w:val="00364480"/>
    <w:rsid w:val="00364C93"/>
    <w:rsid w:val="00364D06"/>
    <w:rsid w:val="00365414"/>
    <w:rsid w:val="0036578F"/>
    <w:rsid w:val="0036615F"/>
    <w:rsid w:val="00366A4F"/>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94A"/>
    <w:rsid w:val="00372C2A"/>
    <w:rsid w:val="003731CF"/>
    <w:rsid w:val="003737BE"/>
    <w:rsid w:val="00373A2F"/>
    <w:rsid w:val="00373ADA"/>
    <w:rsid w:val="00373B49"/>
    <w:rsid w:val="00373D71"/>
    <w:rsid w:val="00374393"/>
    <w:rsid w:val="00374835"/>
    <w:rsid w:val="00374955"/>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DF"/>
    <w:rsid w:val="00387C75"/>
    <w:rsid w:val="00390063"/>
    <w:rsid w:val="0039030E"/>
    <w:rsid w:val="00390755"/>
    <w:rsid w:val="00390C25"/>
    <w:rsid w:val="00390D21"/>
    <w:rsid w:val="00390F7E"/>
    <w:rsid w:val="003910E9"/>
    <w:rsid w:val="00391403"/>
    <w:rsid w:val="0039181D"/>
    <w:rsid w:val="00392500"/>
    <w:rsid w:val="00392626"/>
    <w:rsid w:val="0039269B"/>
    <w:rsid w:val="0039281A"/>
    <w:rsid w:val="00392A93"/>
    <w:rsid w:val="00392AD4"/>
    <w:rsid w:val="00392B06"/>
    <w:rsid w:val="00393A89"/>
    <w:rsid w:val="00393ADA"/>
    <w:rsid w:val="00394630"/>
    <w:rsid w:val="00394E29"/>
    <w:rsid w:val="003956BA"/>
    <w:rsid w:val="003959B5"/>
    <w:rsid w:val="00395C29"/>
    <w:rsid w:val="00396876"/>
    <w:rsid w:val="003968EC"/>
    <w:rsid w:val="00396C33"/>
    <w:rsid w:val="00396CDF"/>
    <w:rsid w:val="003972ED"/>
    <w:rsid w:val="003974C0"/>
    <w:rsid w:val="00397804"/>
    <w:rsid w:val="003A012F"/>
    <w:rsid w:val="003A0DB2"/>
    <w:rsid w:val="003A1073"/>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4EDB"/>
    <w:rsid w:val="003B5366"/>
    <w:rsid w:val="003B5A84"/>
    <w:rsid w:val="003B5AAE"/>
    <w:rsid w:val="003B5CE7"/>
    <w:rsid w:val="003B5D4F"/>
    <w:rsid w:val="003B5EB8"/>
    <w:rsid w:val="003B606A"/>
    <w:rsid w:val="003B61D8"/>
    <w:rsid w:val="003B63F8"/>
    <w:rsid w:val="003B64FB"/>
    <w:rsid w:val="003B66E3"/>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0FB2"/>
    <w:rsid w:val="003C1188"/>
    <w:rsid w:val="003C1475"/>
    <w:rsid w:val="003C1507"/>
    <w:rsid w:val="003C1C0B"/>
    <w:rsid w:val="003C2087"/>
    <w:rsid w:val="003C2093"/>
    <w:rsid w:val="003C20A5"/>
    <w:rsid w:val="003C227C"/>
    <w:rsid w:val="003C27AB"/>
    <w:rsid w:val="003C27E4"/>
    <w:rsid w:val="003C286E"/>
    <w:rsid w:val="003C2C31"/>
    <w:rsid w:val="003C2F9C"/>
    <w:rsid w:val="003C30F7"/>
    <w:rsid w:val="003C338A"/>
    <w:rsid w:val="003C345B"/>
    <w:rsid w:val="003C390D"/>
    <w:rsid w:val="003C3916"/>
    <w:rsid w:val="003C39CC"/>
    <w:rsid w:val="003C3A26"/>
    <w:rsid w:val="003C3EF0"/>
    <w:rsid w:val="003C40FB"/>
    <w:rsid w:val="003C4328"/>
    <w:rsid w:val="003C52B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34"/>
    <w:rsid w:val="003F3C84"/>
    <w:rsid w:val="003F47FB"/>
    <w:rsid w:val="003F4D4E"/>
    <w:rsid w:val="003F5092"/>
    <w:rsid w:val="003F53B0"/>
    <w:rsid w:val="003F54A1"/>
    <w:rsid w:val="003F59F3"/>
    <w:rsid w:val="003F5CCA"/>
    <w:rsid w:val="003F5DC5"/>
    <w:rsid w:val="003F6115"/>
    <w:rsid w:val="003F62B4"/>
    <w:rsid w:val="003F65C7"/>
    <w:rsid w:val="003F6AA2"/>
    <w:rsid w:val="003F6D5F"/>
    <w:rsid w:val="003F6E05"/>
    <w:rsid w:val="003F6F8E"/>
    <w:rsid w:val="003F73AE"/>
    <w:rsid w:val="003F77C9"/>
    <w:rsid w:val="003F77F7"/>
    <w:rsid w:val="003F7860"/>
    <w:rsid w:val="003F7883"/>
    <w:rsid w:val="003F7AB8"/>
    <w:rsid w:val="0040043E"/>
    <w:rsid w:val="004005F4"/>
    <w:rsid w:val="00400B91"/>
    <w:rsid w:val="0040139A"/>
    <w:rsid w:val="004014EC"/>
    <w:rsid w:val="004014F7"/>
    <w:rsid w:val="00401A20"/>
    <w:rsid w:val="00401B1F"/>
    <w:rsid w:val="00401C51"/>
    <w:rsid w:val="00401DA9"/>
    <w:rsid w:val="00401F09"/>
    <w:rsid w:val="0040204C"/>
    <w:rsid w:val="004021C4"/>
    <w:rsid w:val="00402BF6"/>
    <w:rsid w:val="00402D92"/>
    <w:rsid w:val="00402FD3"/>
    <w:rsid w:val="00403188"/>
    <w:rsid w:val="00403BE4"/>
    <w:rsid w:val="00403D7A"/>
    <w:rsid w:val="00404230"/>
    <w:rsid w:val="00404638"/>
    <w:rsid w:val="004047EC"/>
    <w:rsid w:val="004049CB"/>
    <w:rsid w:val="00405460"/>
    <w:rsid w:val="004055CB"/>
    <w:rsid w:val="00405625"/>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BD1"/>
    <w:rsid w:val="00411C50"/>
    <w:rsid w:val="0041238A"/>
    <w:rsid w:val="00412562"/>
    <w:rsid w:val="004129E7"/>
    <w:rsid w:val="00413304"/>
    <w:rsid w:val="004134F6"/>
    <w:rsid w:val="004138B0"/>
    <w:rsid w:val="00413AF9"/>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9E9"/>
    <w:rsid w:val="00422B30"/>
    <w:rsid w:val="00423063"/>
    <w:rsid w:val="00424197"/>
    <w:rsid w:val="004241F4"/>
    <w:rsid w:val="00424862"/>
    <w:rsid w:val="004248C3"/>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256"/>
    <w:rsid w:val="004434D9"/>
    <w:rsid w:val="0044354C"/>
    <w:rsid w:val="00443DA3"/>
    <w:rsid w:val="00444130"/>
    <w:rsid w:val="00444283"/>
    <w:rsid w:val="004443E7"/>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F2"/>
    <w:rsid w:val="0045586F"/>
    <w:rsid w:val="00455AFC"/>
    <w:rsid w:val="00455B9C"/>
    <w:rsid w:val="00455C6C"/>
    <w:rsid w:val="0045611C"/>
    <w:rsid w:val="00456161"/>
    <w:rsid w:val="0045651D"/>
    <w:rsid w:val="00456999"/>
    <w:rsid w:val="00456CC1"/>
    <w:rsid w:val="004573A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2443"/>
    <w:rsid w:val="00462520"/>
    <w:rsid w:val="004625D8"/>
    <w:rsid w:val="00462AF9"/>
    <w:rsid w:val="00462C92"/>
    <w:rsid w:val="00462D0F"/>
    <w:rsid w:val="004631AC"/>
    <w:rsid w:val="004631BD"/>
    <w:rsid w:val="0046331A"/>
    <w:rsid w:val="00464085"/>
    <w:rsid w:val="004648B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1023"/>
    <w:rsid w:val="004710C0"/>
    <w:rsid w:val="00471216"/>
    <w:rsid w:val="00471980"/>
    <w:rsid w:val="00471A8B"/>
    <w:rsid w:val="00471E4A"/>
    <w:rsid w:val="004722E0"/>
    <w:rsid w:val="00472449"/>
    <w:rsid w:val="00472601"/>
    <w:rsid w:val="004729A3"/>
    <w:rsid w:val="00472CD4"/>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128D"/>
    <w:rsid w:val="0048140B"/>
    <w:rsid w:val="00481724"/>
    <w:rsid w:val="00481AC0"/>
    <w:rsid w:val="00481B60"/>
    <w:rsid w:val="004821C6"/>
    <w:rsid w:val="004821D4"/>
    <w:rsid w:val="00482303"/>
    <w:rsid w:val="00482CD9"/>
    <w:rsid w:val="004837D0"/>
    <w:rsid w:val="00483D35"/>
    <w:rsid w:val="00483ED7"/>
    <w:rsid w:val="00483F86"/>
    <w:rsid w:val="004846B9"/>
    <w:rsid w:val="0048475D"/>
    <w:rsid w:val="00484AEE"/>
    <w:rsid w:val="00484C9B"/>
    <w:rsid w:val="00484CC7"/>
    <w:rsid w:val="00484D88"/>
    <w:rsid w:val="00484F90"/>
    <w:rsid w:val="0048549F"/>
    <w:rsid w:val="004855B3"/>
    <w:rsid w:val="004856E9"/>
    <w:rsid w:val="004858D9"/>
    <w:rsid w:val="00485F78"/>
    <w:rsid w:val="0048666C"/>
    <w:rsid w:val="0048668F"/>
    <w:rsid w:val="00486C8E"/>
    <w:rsid w:val="00486E1F"/>
    <w:rsid w:val="004871A3"/>
    <w:rsid w:val="004871B4"/>
    <w:rsid w:val="00487224"/>
    <w:rsid w:val="004872B7"/>
    <w:rsid w:val="0049035C"/>
    <w:rsid w:val="0049089F"/>
    <w:rsid w:val="00490A8E"/>
    <w:rsid w:val="00490F59"/>
    <w:rsid w:val="0049168C"/>
    <w:rsid w:val="00491BAA"/>
    <w:rsid w:val="00491BCF"/>
    <w:rsid w:val="00491EC4"/>
    <w:rsid w:val="004928AB"/>
    <w:rsid w:val="00492908"/>
    <w:rsid w:val="00492FBD"/>
    <w:rsid w:val="00493280"/>
    <w:rsid w:val="004936BA"/>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409B"/>
    <w:rsid w:val="004A436F"/>
    <w:rsid w:val="004A4693"/>
    <w:rsid w:val="004A4AF8"/>
    <w:rsid w:val="004A4D62"/>
    <w:rsid w:val="004A4F1B"/>
    <w:rsid w:val="004A4F88"/>
    <w:rsid w:val="004A526D"/>
    <w:rsid w:val="004A57E4"/>
    <w:rsid w:val="004A58E1"/>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507D"/>
    <w:rsid w:val="004B53F7"/>
    <w:rsid w:val="004B5CB2"/>
    <w:rsid w:val="004B5E03"/>
    <w:rsid w:val="004B5E54"/>
    <w:rsid w:val="004B5F60"/>
    <w:rsid w:val="004B5FA6"/>
    <w:rsid w:val="004B5FF5"/>
    <w:rsid w:val="004B69D6"/>
    <w:rsid w:val="004B6EFC"/>
    <w:rsid w:val="004B7001"/>
    <w:rsid w:val="004B75CA"/>
    <w:rsid w:val="004B7957"/>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880"/>
    <w:rsid w:val="004C5C7E"/>
    <w:rsid w:val="004C5DD6"/>
    <w:rsid w:val="004C5FC5"/>
    <w:rsid w:val="004C6212"/>
    <w:rsid w:val="004C6351"/>
    <w:rsid w:val="004C6D1B"/>
    <w:rsid w:val="004C6D74"/>
    <w:rsid w:val="004C6E6F"/>
    <w:rsid w:val="004C6F98"/>
    <w:rsid w:val="004C7A35"/>
    <w:rsid w:val="004D0269"/>
    <w:rsid w:val="004D053B"/>
    <w:rsid w:val="004D0839"/>
    <w:rsid w:val="004D0961"/>
    <w:rsid w:val="004D0BBE"/>
    <w:rsid w:val="004D0BCD"/>
    <w:rsid w:val="004D1299"/>
    <w:rsid w:val="004D1450"/>
    <w:rsid w:val="004D151C"/>
    <w:rsid w:val="004D164C"/>
    <w:rsid w:val="004D1853"/>
    <w:rsid w:val="004D19C1"/>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787"/>
    <w:rsid w:val="004D6A39"/>
    <w:rsid w:val="004D6D8B"/>
    <w:rsid w:val="004D6F59"/>
    <w:rsid w:val="004D7258"/>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D11"/>
    <w:rsid w:val="004F27CF"/>
    <w:rsid w:val="004F2888"/>
    <w:rsid w:val="004F293E"/>
    <w:rsid w:val="004F2C4C"/>
    <w:rsid w:val="004F314F"/>
    <w:rsid w:val="004F34E8"/>
    <w:rsid w:val="004F3C7C"/>
    <w:rsid w:val="004F401D"/>
    <w:rsid w:val="004F45A4"/>
    <w:rsid w:val="004F45B9"/>
    <w:rsid w:val="004F4CD3"/>
    <w:rsid w:val="004F541A"/>
    <w:rsid w:val="004F548F"/>
    <w:rsid w:val="004F570C"/>
    <w:rsid w:val="004F5921"/>
    <w:rsid w:val="004F59AD"/>
    <w:rsid w:val="004F5A68"/>
    <w:rsid w:val="004F5CEF"/>
    <w:rsid w:val="004F5E3A"/>
    <w:rsid w:val="004F60DA"/>
    <w:rsid w:val="004F65B0"/>
    <w:rsid w:val="004F6984"/>
    <w:rsid w:val="004F6A8A"/>
    <w:rsid w:val="004F6C55"/>
    <w:rsid w:val="004F6D07"/>
    <w:rsid w:val="004F6E7F"/>
    <w:rsid w:val="004F6FB2"/>
    <w:rsid w:val="004F7225"/>
    <w:rsid w:val="004F7395"/>
    <w:rsid w:val="004F76E2"/>
    <w:rsid w:val="004F7802"/>
    <w:rsid w:val="0050068C"/>
    <w:rsid w:val="005009BE"/>
    <w:rsid w:val="00500BF9"/>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877"/>
    <w:rsid w:val="0051599F"/>
    <w:rsid w:val="00515AB4"/>
    <w:rsid w:val="00516093"/>
    <w:rsid w:val="0051673C"/>
    <w:rsid w:val="005169BB"/>
    <w:rsid w:val="0051733D"/>
    <w:rsid w:val="00517457"/>
    <w:rsid w:val="0051787B"/>
    <w:rsid w:val="00517B1A"/>
    <w:rsid w:val="00517F5C"/>
    <w:rsid w:val="0052014E"/>
    <w:rsid w:val="0052064C"/>
    <w:rsid w:val="005207F1"/>
    <w:rsid w:val="00520CB1"/>
    <w:rsid w:val="00520FBE"/>
    <w:rsid w:val="0052125E"/>
    <w:rsid w:val="0052138E"/>
    <w:rsid w:val="00521B6F"/>
    <w:rsid w:val="00521BC1"/>
    <w:rsid w:val="00521D36"/>
    <w:rsid w:val="00521FC4"/>
    <w:rsid w:val="005221E7"/>
    <w:rsid w:val="00522FD2"/>
    <w:rsid w:val="00523018"/>
    <w:rsid w:val="005231ED"/>
    <w:rsid w:val="005234AA"/>
    <w:rsid w:val="005237A5"/>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220"/>
    <w:rsid w:val="0053547D"/>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C8E"/>
    <w:rsid w:val="0054100F"/>
    <w:rsid w:val="00541179"/>
    <w:rsid w:val="00541274"/>
    <w:rsid w:val="005414C9"/>
    <w:rsid w:val="0054163B"/>
    <w:rsid w:val="0054175E"/>
    <w:rsid w:val="005418D6"/>
    <w:rsid w:val="00542076"/>
    <w:rsid w:val="0054254B"/>
    <w:rsid w:val="00542B7A"/>
    <w:rsid w:val="00543988"/>
    <w:rsid w:val="00543CD0"/>
    <w:rsid w:val="00544064"/>
    <w:rsid w:val="00544241"/>
    <w:rsid w:val="0054462D"/>
    <w:rsid w:val="00544CBC"/>
    <w:rsid w:val="00544EEC"/>
    <w:rsid w:val="0054563A"/>
    <w:rsid w:val="00545B0C"/>
    <w:rsid w:val="00545BF0"/>
    <w:rsid w:val="00546014"/>
    <w:rsid w:val="00546038"/>
    <w:rsid w:val="005461D0"/>
    <w:rsid w:val="00546300"/>
    <w:rsid w:val="00546371"/>
    <w:rsid w:val="00546ADB"/>
    <w:rsid w:val="00546DA7"/>
    <w:rsid w:val="00546F82"/>
    <w:rsid w:val="00547193"/>
    <w:rsid w:val="00547540"/>
    <w:rsid w:val="00547630"/>
    <w:rsid w:val="005478BA"/>
    <w:rsid w:val="00547983"/>
    <w:rsid w:val="00547A27"/>
    <w:rsid w:val="00547AD7"/>
    <w:rsid w:val="00547DAC"/>
    <w:rsid w:val="00547E99"/>
    <w:rsid w:val="0055003E"/>
    <w:rsid w:val="0055075C"/>
    <w:rsid w:val="005507FE"/>
    <w:rsid w:val="005514A8"/>
    <w:rsid w:val="005518F2"/>
    <w:rsid w:val="00551984"/>
    <w:rsid w:val="005519E2"/>
    <w:rsid w:val="005519F2"/>
    <w:rsid w:val="00551CD5"/>
    <w:rsid w:val="00552250"/>
    <w:rsid w:val="005523C8"/>
    <w:rsid w:val="005526CB"/>
    <w:rsid w:val="005529E5"/>
    <w:rsid w:val="00552A7B"/>
    <w:rsid w:val="00552CF5"/>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83A"/>
    <w:rsid w:val="00556860"/>
    <w:rsid w:val="00556E30"/>
    <w:rsid w:val="00557455"/>
    <w:rsid w:val="005576AE"/>
    <w:rsid w:val="0055796A"/>
    <w:rsid w:val="00557CC4"/>
    <w:rsid w:val="0056056C"/>
    <w:rsid w:val="005606E9"/>
    <w:rsid w:val="0056070F"/>
    <w:rsid w:val="0056091E"/>
    <w:rsid w:val="00560B26"/>
    <w:rsid w:val="00560B9C"/>
    <w:rsid w:val="00560E52"/>
    <w:rsid w:val="00560E87"/>
    <w:rsid w:val="00560EF4"/>
    <w:rsid w:val="005610A9"/>
    <w:rsid w:val="00561330"/>
    <w:rsid w:val="005615A8"/>
    <w:rsid w:val="005619E0"/>
    <w:rsid w:val="00561F12"/>
    <w:rsid w:val="00561F96"/>
    <w:rsid w:val="005620E8"/>
    <w:rsid w:val="00562105"/>
    <w:rsid w:val="005623F3"/>
    <w:rsid w:val="0056248E"/>
    <w:rsid w:val="005627DC"/>
    <w:rsid w:val="00562988"/>
    <w:rsid w:val="00562A6B"/>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5C6C"/>
    <w:rsid w:val="00566269"/>
    <w:rsid w:val="00566A7A"/>
    <w:rsid w:val="00566B79"/>
    <w:rsid w:val="005673F7"/>
    <w:rsid w:val="0056748C"/>
    <w:rsid w:val="00567848"/>
    <w:rsid w:val="005679D7"/>
    <w:rsid w:val="00567FC3"/>
    <w:rsid w:val="00570114"/>
    <w:rsid w:val="005701A2"/>
    <w:rsid w:val="005704DC"/>
    <w:rsid w:val="00570B18"/>
    <w:rsid w:val="00570D8C"/>
    <w:rsid w:val="00571552"/>
    <w:rsid w:val="00571D26"/>
    <w:rsid w:val="00572889"/>
    <w:rsid w:val="005728CE"/>
    <w:rsid w:val="005729C6"/>
    <w:rsid w:val="00572AC6"/>
    <w:rsid w:val="005734D7"/>
    <w:rsid w:val="005736E9"/>
    <w:rsid w:val="00573DA2"/>
    <w:rsid w:val="0057407D"/>
    <w:rsid w:val="0057430E"/>
    <w:rsid w:val="0057491D"/>
    <w:rsid w:val="0057496E"/>
    <w:rsid w:val="005749D6"/>
    <w:rsid w:val="00574B39"/>
    <w:rsid w:val="00574EE7"/>
    <w:rsid w:val="00575443"/>
    <w:rsid w:val="00575610"/>
    <w:rsid w:val="00575C1F"/>
    <w:rsid w:val="00575CDC"/>
    <w:rsid w:val="00575D61"/>
    <w:rsid w:val="00575F58"/>
    <w:rsid w:val="005769BC"/>
    <w:rsid w:val="00576A6D"/>
    <w:rsid w:val="00576EA7"/>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E3F"/>
    <w:rsid w:val="00582FB0"/>
    <w:rsid w:val="00583522"/>
    <w:rsid w:val="00583545"/>
    <w:rsid w:val="005835F9"/>
    <w:rsid w:val="005838D4"/>
    <w:rsid w:val="00583DFD"/>
    <w:rsid w:val="00583F89"/>
    <w:rsid w:val="0058403F"/>
    <w:rsid w:val="00584211"/>
    <w:rsid w:val="005844B6"/>
    <w:rsid w:val="005845D3"/>
    <w:rsid w:val="00584BF1"/>
    <w:rsid w:val="00585307"/>
    <w:rsid w:val="005858B1"/>
    <w:rsid w:val="0058637E"/>
    <w:rsid w:val="0058678B"/>
    <w:rsid w:val="00586ADE"/>
    <w:rsid w:val="00586C3A"/>
    <w:rsid w:val="00586FD4"/>
    <w:rsid w:val="0058709F"/>
    <w:rsid w:val="0058756C"/>
    <w:rsid w:val="00587864"/>
    <w:rsid w:val="00587A8E"/>
    <w:rsid w:val="00587DAA"/>
    <w:rsid w:val="00587EAC"/>
    <w:rsid w:val="0059011E"/>
    <w:rsid w:val="00590433"/>
    <w:rsid w:val="005905C2"/>
    <w:rsid w:val="00590A71"/>
    <w:rsid w:val="00590C02"/>
    <w:rsid w:val="00590E15"/>
    <w:rsid w:val="00590F44"/>
    <w:rsid w:val="00591491"/>
    <w:rsid w:val="00591579"/>
    <w:rsid w:val="005916BB"/>
    <w:rsid w:val="005916CF"/>
    <w:rsid w:val="00591743"/>
    <w:rsid w:val="005919ED"/>
    <w:rsid w:val="005921F9"/>
    <w:rsid w:val="0059237B"/>
    <w:rsid w:val="0059264A"/>
    <w:rsid w:val="005928FD"/>
    <w:rsid w:val="00592BF3"/>
    <w:rsid w:val="00592F41"/>
    <w:rsid w:val="0059339E"/>
    <w:rsid w:val="005933F4"/>
    <w:rsid w:val="0059357F"/>
    <w:rsid w:val="005935BC"/>
    <w:rsid w:val="005938AB"/>
    <w:rsid w:val="00593B03"/>
    <w:rsid w:val="00594156"/>
    <w:rsid w:val="00594556"/>
    <w:rsid w:val="00594AEC"/>
    <w:rsid w:val="00594BA2"/>
    <w:rsid w:val="00594E4C"/>
    <w:rsid w:val="0059556F"/>
    <w:rsid w:val="00595A4E"/>
    <w:rsid w:val="00595BAD"/>
    <w:rsid w:val="00595EA6"/>
    <w:rsid w:val="00595EB4"/>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53D"/>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1B4"/>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D09"/>
    <w:rsid w:val="005B5E7D"/>
    <w:rsid w:val="005B630F"/>
    <w:rsid w:val="005B6439"/>
    <w:rsid w:val="005B6F71"/>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EF"/>
    <w:rsid w:val="005C5A44"/>
    <w:rsid w:val="005C5BBB"/>
    <w:rsid w:val="005C65F4"/>
    <w:rsid w:val="005C6614"/>
    <w:rsid w:val="005C6641"/>
    <w:rsid w:val="005C69F2"/>
    <w:rsid w:val="005C6AA0"/>
    <w:rsid w:val="005C6E06"/>
    <w:rsid w:val="005C6F48"/>
    <w:rsid w:val="005C7302"/>
    <w:rsid w:val="005C754A"/>
    <w:rsid w:val="005C767C"/>
    <w:rsid w:val="005C7A22"/>
    <w:rsid w:val="005D005E"/>
    <w:rsid w:val="005D0086"/>
    <w:rsid w:val="005D016C"/>
    <w:rsid w:val="005D0271"/>
    <w:rsid w:val="005D0D7D"/>
    <w:rsid w:val="005D187F"/>
    <w:rsid w:val="005D1983"/>
    <w:rsid w:val="005D1990"/>
    <w:rsid w:val="005D1F79"/>
    <w:rsid w:val="005D23D2"/>
    <w:rsid w:val="005D2682"/>
    <w:rsid w:val="005D2946"/>
    <w:rsid w:val="005D295E"/>
    <w:rsid w:val="005D2E67"/>
    <w:rsid w:val="005D2E95"/>
    <w:rsid w:val="005D334A"/>
    <w:rsid w:val="005D348D"/>
    <w:rsid w:val="005D35A2"/>
    <w:rsid w:val="005D36F0"/>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26"/>
    <w:rsid w:val="005D6AA9"/>
    <w:rsid w:val="005D6E3A"/>
    <w:rsid w:val="005D7410"/>
    <w:rsid w:val="005D7459"/>
    <w:rsid w:val="005E106F"/>
    <w:rsid w:val="005E1BC5"/>
    <w:rsid w:val="005E1FF3"/>
    <w:rsid w:val="005E20F0"/>
    <w:rsid w:val="005E248C"/>
    <w:rsid w:val="005E2B78"/>
    <w:rsid w:val="005E2D11"/>
    <w:rsid w:val="005E2FB2"/>
    <w:rsid w:val="005E2FE5"/>
    <w:rsid w:val="005E315F"/>
    <w:rsid w:val="005E3184"/>
    <w:rsid w:val="005E3787"/>
    <w:rsid w:val="005E37E6"/>
    <w:rsid w:val="005E4359"/>
    <w:rsid w:val="005E446B"/>
    <w:rsid w:val="005E4682"/>
    <w:rsid w:val="005E4739"/>
    <w:rsid w:val="005E477E"/>
    <w:rsid w:val="005E48E3"/>
    <w:rsid w:val="005E4E19"/>
    <w:rsid w:val="005E6170"/>
    <w:rsid w:val="005E63AD"/>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93"/>
    <w:rsid w:val="005F6C0F"/>
    <w:rsid w:val="005F70A7"/>
    <w:rsid w:val="005F72DE"/>
    <w:rsid w:val="005F74A2"/>
    <w:rsid w:val="005F7955"/>
    <w:rsid w:val="006005D9"/>
    <w:rsid w:val="00600A5F"/>
    <w:rsid w:val="00600B10"/>
    <w:rsid w:val="00600B3A"/>
    <w:rsid w:val="00600D87"/>
    <w:rsid w:val="00601144"/>
    <w:rsid w:val="006012B3"/>
    <w:rsid w:val="0060130E"/>
    <w:rsid w:val="0060144D"/>
    <w:rsid w:val="00601516"/>
    <w:rsid w:val="00601689"/>
    <w:rsid w:val="006018DC"/>
    <w:rsid w:val="00601AD7"/>
    <w:rsid w:val="006024DA"/>
    <w:rsid w:val="0060284F"/>
    <w:rsid w:val="006029F5"/>
    <w:rsid w:val="00602A1E"/>
    <w:rsid w:val="006035FA"/>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9C7"/>
    <w:rsid w:val="00607A7B"/>
    <w:rsid w:val="00607B90"/>
    <w:rsid w:val="00607CA6"/>
    <w:rsid w:val="006104F5"/>
    <w:rsid w:val="0061097A"/>
    <w:rsid w:val="00610C2A"/>
    <w:rsid w:val="00610C31"/>
    <w:rsid w:val="00610F63"/>
    <w:rsid w:val="00610FAD"/>
    <w:rsid w:val="006111D7"/>
    <w:rsid w:val="00611317"/>
    <w:rsid w:val="0061143B"/>
    <w:rsid w:val="006115DA"/>
    <w:rsid w:val="006119FF"/>
    <w:rsid w:val="00612150"/>
    <w:rsid w:val="00612322"/>
    <w:rsid w:val="00612400"/>
    <w:rsid w:val="00612480"/>
    <w:rsid w:val="0061256A"/>
    <w:rsid w:val="00612797"/>
    <w:rsid w:val="0061292D"/>
    <w:rsid w:val="00612E32"/>
    <w:rsid w:val="006133F7"/>
    <w:rsid w:val="00613536"/>
    <w:rsid w:val="00613578"/>
    <w:rsid w:val="00613A9A"/>
    <w:rsid w:val="00613BEA"/>
    <w:rsid w:val="00613C89"/>
    <w:rsid w:val="0061461D"/>
    <w:rsid w:val="00614ADD"/>
    <w:rsid w:val="00614BBE"/>
    <w:rsid w:val="00615231"/>
    <w:rsid w:val="00615310"/>
    <w:rsid w:val="00615D88"/>
    <w:rsid w:val="00615DFD"/>
    <w:rsid w:val="006163B5"/>
    <w:rsid w:val="0061641A"/>
    <w:rsid w:val="00616DDF"/>
    <w:rsid w:val="00616E04"/>
    <w:rsid w:val="00616E88"/>
    <w:rsid w:val="00616F06"/>
    <w:rsid w:val="00616FBC"/>
    <w:rsid w:val="006171FF"/>
    <w:rsid w:val="0061762E"/>
    <w:rsid w:val="00620231"/>
    <w:rsid w:val="00620308"/>
    <w:rsid w:val="006204A0"/>
    <w:rsid w:val="00620545"/>
    <w:rsid w:val="00620DDC"/>
    <w:rsid w:val="006212DB"/>
    <w:rsid w:val="006216BE"/>
    <w:rsid w:val="00621A21"/>
    <w:rsid w:val="00621B7F"/>
    <w:rsid w:val="00621BCE"/>
    <w:rsid w:val="00622631"/>
    <w:rsid w:val="00622832"/>
    <w:rsid w:val="00622914"/>
    <w:rsid w:val="00622CE6"/>
    <w:rsid w:val="00622DE8"/>
    <w:rsid w:val="00623446"/>
    <w:rsid w:val="00623647"/>
    <w:rsid w:val="00623CCD"/>
    <w:rsid w:val="00624594"/>
    <w:rsid w:val="00624A61"/>
    <w:rsid w:val="00624D1F"/>
    <w:rsid w:val="00624E3D"/>
    <w:rsid w:val="006252ED"/>
    <w:rsid w:val="006252F8"/>
    <w:rsid w:val="006254BE"/>
    <w:rsid w:val="0062584E"/>
    <w:rsid w:val="00625EB9"/>
    <w:rsid w:val="00626111"/>
    <w:rsid w:val="00626363"/>
    <w:rsid w:val="006265E3"/>
    <w:rsid w:val="0062743C"/>
    <w:rsid w:val="00627C0A"/>
    <w:rsid w:val="00627D10"/>
    <w:rsid w:val="00627FAD"/>
    <w:rsid w:val="0063060C"/>
    <w:rsid w:val="00630788"/>
    <w:rsid w:val="0063099A"/>
    <w:rsid w:val="006312D2"/>
    <w:rsid w:val="00631349"/>
    <w:rsid w:val="00631742"/>
    <w:rsid w:val="00631892"/>
    <w:rsid w:val="0063195B"/>
    <w:rsid w:val="00631F42"/>
    <w:rsid w:val="0063213E"/>
    <w:rsid w:val="006321FC"/>
    <w:rsid w:val="006322E2"/>
    <w:rsid w:val="00632397"/>
    <w:rsid w:val="00632868"/>
    <w:rsid w:val="006328D8"/>
    <w:rsid w:val="00632AE6"/>
    <w:rsid w:val="00632C6E"/>
    <w:rsid w:val="00632DB5"/>
    <w:rsid w:val="00632FEB"/>
    <w:rsid w:val="00633090"/>
    <w:rsid w:val="00633289"/>
    <w:rsid w:val="00633611"/>
    <w:rsid w:val="006339D2"/>
    <w:rsid w:val="00633E8B"/>
    <w:rsid w:val="00634054"/>
    <w:rsid w:val="00634238"/>
    <w:rsid w:val="006343AA"/>
    <w:rsid w:val="006346FF"/>
    <w:rsid w:val="00634A4F"/>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271"/>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4219"/>
    <w:rsid w:val="00644285"/>
    <w:rsid w:val="006443BD"/>
    <w:rsid w:val="00644A9C"/>
    <w:rsid w:val="00644EC7"/>
    <w:rsid w:val="00645458"/>
    <w:rsid w:val="00645634"/>
    <w:rsid w:val="0064563D"/>
    <w:rsid w:val="006457F2"/>
    <w:rsid w:val="00645D72"/>
    <w:rsid w:val="0064614B"/>
    <w:rsid w:val="0064617E"/>
    <w:rsid w:val="006463B2"/>
    <w:rsid w:val="00646422"/>
    <w:rsid w:val="006466CF"/>
    <w:rsid w:val="0064671E"/>
    <w:rsid w:val="00646AC1"/>
    <w:rsid w:val="00646C79"/>
    <w:rsid w:val="00647226"/>
    <w:rsid w:val="006474FD"/>
    <w:rsid w:val="006476D2"/>
    <w:rsid w:val="00647874"/>
    <w:rsid w:val="00647898"/>
    <w:rsid w:val="00647B17"/>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3BFB"/>
    <w:rsid w:val="0065421B"/>
    <w:rsid w:val="00654254"/>
    <w:rsid w:val="00654293"/>
    <w:rsid w:val="006542E6"/>
    <w:rsid w:val="006544E2"/>
    <w:rsid w:val="00654866"/>
    <w:rsid w:val="00654938"/>
    <w:rsid w:val="00654C7A"/>
    <w:rsid w:val="00654E54"/>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0D42"/>
    <w:rsid w:val="0066102B"/>
    <w:rsid w:val="0066177B"/>
    <w:rsid w:val="006618EA"/>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406"/>
    <w:rsid w:val="00666699"/>
    <w:rsid w:val="00666860"/>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8FA"/>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65D"/>
    <w:rsid w:val="0068297A"/>
    <w:rsid w:val="00682CE5"/>
    <w:rsid w:val="00683E20"/>
    <w:rsid w:val="006840B1"/>
    <w:rsid w:val="006841B8"/>
    <w:rsid w:val="00684670"/>
    <w:rsid w:val="00684703"/>
    <w:rsid w:val="00684741"/>
    <w:rsid w:val="00684765"/>
    <w:rsid w:val="00684823"/>
    <w:rsid w:val="0068492C"/>
    <w:rsid w:val="0068499A"/>
    <w:rsid w:val="006851F4"/>
    <w:rsid w:val="0068565D"/>
    <w:rsid w:val="00685700"/>
    <w:rsid w:val="00685BAD"/>
    <w:rsid w:val="00685CD9"/>
    <w:rsid w:val="006863B7"/>
    <w:rsid w:val="0068694E"/>
    <w:rsid w:val="00686ABF"/>
    <w:rsid w:val="00686B87"/>
    <w:rsid w:val="006870AE"/>
    <w:rsid w:val="006875E0"/>
    <w:rsid w:val="00687719"/>
    <w:rsid w:val="00687FCE"/>
    <w:rsid w:val="006903F2"/>
    <w:rsid w:val="00690606"/>
    <w:rsid w:val="00690621"/>
    <w:rsid w:val="006906EC"/>
    <w:rsid w:val="006907B5"/>
    <w:rsid w:val="00690ACB"/>
    <w:rsid w:val="00690ADB"/>
    <w:rsid w:val="00690D81"/>
    <w:rsid w:val="00690F9B"/>
    <w:rsid w:val="00691164"/>
    <w:rsid w:val="006911E6"/>
    <w:rsid w:val="0069130C"/>
    <w:rsid w:val="00691425"/>
    <w:rsid w:val="00691481"/>
    <w:rsid w:val="00691A40"/>
    <w:rsid w:val="00691A54"/>
    <w:rsid w:val="00691B2F"/>
    <w:rsid w:val="006923BD"/>
    <w:rsid w:val="00692540"/>
    <w:rsid w:val="006928DC"/>
    <w:rsid w:val="00693237"/>
    <w:rsid w:val="00693462"/>
    <w:rsid w:val="00693470"/>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31B"/>
    <w:rsid w:val="006C34A7"/>
    <w:rsid w:val="006C370F"/>
    <w:rsid w:val="006C393E"/>
    <w:rsid w:val="006C3D18"/>
    <w:rsid w:val="006C3DAE"/>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1B0"/>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ADE"/>
    <w:rsid w:val="007111DC"/>
    <w:rsid w:val="0071174A"/>
    <w:rsid w:val="00711925"/>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1E22"/>
    <w:rsid w:val="007221ED"/>
    <w:rsid w:val="007225B0"/>
    <w:rsid w:val="007225C3"/>
    <w:rsid w:val="00722E44"/>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72C"/>
    <w:rsid w:val="00726D8A"/>
    <w:rsid w:val="00726D9B"/>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1F"/>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DD"/>
    <w:rsid w:val="0073514D"/>
    <w:rsid w:val="00735553"/>
    <w:rsid w:val="007356F1"/>
    <w:rsid w:val="007357F0"/>
    <w:rsid w:val="00735A8A"/>
    <w:rsid w:val="00735C2E"/>
    <w:rsid w:val="00735CF2"/>
    <w:rsid w:val="00735D67"/>
    <w:rsid w:val="0073618E"/>
    <w:rsid w:val="007362B5"/>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2A7"/>
    <w:rsid w:val="00745401"/>
    <w:rsid w:val="0074555E"/>
    <w:rsid w:val="00745949"/>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0BA0"/>
    <w:rsid w:val="007510F0"/>
    <w:rsid w:val="007513CD"/>
    <w:rsid w:val="0075148E"/>
    <w:rsid w:val="007518F2"/>
    <w:rsid w:val="00751CEB"/>
    <w:rsid w:val="007521C3"/>
    <w:rsid w:val="007522A6"/>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F3"/>
    <w:rsid w:val="00760B37"/>
    <w:rsid w:val="00760CD4"/>
    <w:rsid w:val="00760CED"/>
    <w:rsid w:val="00760FB1"/>
    <w:rsid w:val="0076114B"/>
    <w:rsid w:val="00761DE6"/>
    <w:rsid w:val="007629F7"/>
    <w:rsid w:val="00762BB8"/>
    <w:rsid w:val="00762EA8"/>
    <w:rsid w:val="00763384"/>
    <w:rsid w:val="0076354F"/>
    <w:rsid w:val="00763666"/>
    <w:rsid w:val="007637B7"/>
    <w:rsid w:val="0076446C"/>
    <w:rsid w:val="0076460B"/>
    <w:rsid w:val="00764939"/>
    <w:rsid w:val="00764A54"/>
    <w:rsid w:val="00764C78"/>
    <w:rsid w:val="00764D34"/>
    <w:rsid w:val="00764E83"/>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C2C"/>
    <w:rsid w:val="00782D41"/>
    <w:rsid w:val="007830EA"/>
    <w:rsid w:val="0078325C"/>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F9"/>
    <w:rsid w:val="007871E1"/>
    <w:rsid w:val="007872CC"/>
    <w:rsid w:val="007875E9"/>
    <w:rsid w:val="00787BC9"/>
    <w:rsid w:val="00787BD5"/>
    <w:rsid w:val="00787F20"/>
    <w:rsid w:val="007900A3"/>
    <w:rsid w:val="0079019C"/>
    <w:rsid w:val="007902EA"/>
    <w:rsid w:val="007903B2"/>
    <w:rsid w:val="0079047E"/>
    <w:rsid w:val="00790648"/>
    <w:rsid w:val="0079089A"/>
    <w:rsid w:val="00790A2E"/>
    <w:rsid w:val="00790ACD"/>
    <w:rsid w:val="00790C60"/>
    <w:rsid w:val="0079140A"/>
    <w:rsid w:val="007915EA"/>
    <w:rsid w:val="00791A4B"/>
    <w:rsid w:val="00791BBE"/>
    <w:rsid w:val="00792264"/>
    <w:rsid w:val="0079226A"/>
    <w:rsid w:val="00792A2D"/>
    <w:rsid w:val="00792F8E"/>
    <w:rsid w:val="0079311D"/>
    <w:rsid w:val="007936F9"/>
    <w:rsid w:val="00793D3D"/>
    <w:rsid w:val="00794023"/>
    <w:rsid w:val="00794163"/>
    <w:rsid w:val="007944C0"/>
    <w:rsid w:val="00794619"/>
    <w:rsid w:val="00794A94"/>
    <w:rsid w:val="00794B42"/>
    <w:rsid w:val="00794DCA"/>
    <w:rsid w:val="00795344"/>
    <w:rsid w:val="00795644"/>
    <w:rsid w:val="00795CE7"/>
    <w:rsid w:val="007966AB"/>
    <w:rsid w:val="0079695E"/>
    <w:rsid w:val="00796B5C"/>
    <w:rsid w:val="00796C15"/>
    <w:rsid w:val="00796E88"/>
    <w:rsid w:val="00796ED9"/>
    <w:rsid w:val="00796F9A"/>
    <w:rsid w:val="00796FAE"/>
    <w:rsid w:val="00797520"/>
    <w:rsid w:val="00797BDE"/>
    <w:rsid w:val="00797CEC"/>
    <w:rsid w:val="00797FA8"/>
    <w:rsid w:val="00797FC7"/>
    <w:rsid w:val="007A01F0"/>
    <w:rsid w:val="007A0B15"/>
    <w:rsid w:val="007A0CE3"/>
    <w:rsid w:val="007A0E12"/>
    <w:rsid w:val="007A0E13"/>
    <w:rsid w:val="007A1017"/>
    <w:rsid w:val="007A12D7"/>
    <w:rsid w:val="007A1A14"/>
    <w:rsid w:val="007A1B5D"/>
    <w:rsid w:val="007A1EC1"/>
    <w:rsid w:val="007A20B6"/>
    <w:rsid w:val="007A258B"/>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6F98"/>
    <w:rsid w:val="007A7019"/>
    <w:rsid w:val="007A7481"/>
    <w:rsid w:val="007A748D"/>
    <w:rsid w:val="007A7559"/>
    <w:rsid w:val="007A765A"/>
    <w:rsid w:val="007A76CD"/>
    <w:rsid w:val="007A791C"/>
    <w:rsid w:val="007A79D6"/>
    <w:rsid w:val="007A7D42"/>
    <w:rsid w:val="007A7E28"/>
    <w:rsid w:val="007A7EB9"/>
    <w:rsid w:val="007B0DBC"/>
    <w:rsid w:val="007B0F14"/>
    <w:rsid w:val="007B103D"/>
    <w:rsid w:val="007B1537"/>
    <w:rsid w:val="007B1549"/>
    <w:rsid w:val="007B1961"/>
    <w:rsid w:val="007B1EC7"/>
    <w:rsid w:val="007B20BB"/>
    <w:rsid w:val="007B216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1746"/>
    <w:rsid w:val="007C17C1"/>
    <w:rsid w:val="007C1CB6"/>
    <w:rsid w:val="007C1E26"/>
    <w:rsid w:val="007C1E40"/>
    <w:rsid w:val="007C1F30"/>
    <w:rsid w:val="007C21BC"/>
    <w:rsid w:val="007C2610"/>
    <w:rsid w:val="007C2611"/>
    <w:rsid w:val="007C2620"/>
    <w:rsid w:val="007C2660"/>
    <w:rsid w:val="007C27D1"/>
    <w:rsid w:val="007C2AE7"/>
    <w:rsid w:val="007C377C"/>
    <w:rsid w:val="007C39AC"/>
    <w:rsid w:val="007C3AEE"/>
    <w:rsid w:val="007C3DF9"/>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606B"/>
    <w:rsid w:val="007D632A"/>
    <w:rsid w:val="007D644F"/>
    <w:rsid w:val="007D64A6"/>
    <w:rsid w:val="007D675C"/>
    <w:rsid w:val="007D6B45"/>
    <w:rsid w:val="007D6C31"/>
    <w:rsid w:val="007D6E71"/>
    <w:rsid w:val="007D7239"/>
    <w:rsid w:val="007D7B7C"/>
    <w:rsid w:val="007D7BDA"/>
    <w:rsid w:val="007D7F3C"/>
    <w:rsid w:val="007E0631"/>
    <w:rsid w:val="007E082A"/>
    <w:rsid w:val="007E0893"/>
    <w:rsid w:val="007E09F8"/>
    <w:rsid w:val="007E0C9E"/>
    <w:rsid w:val="007E16E4"/>
    <w:rsid w:val="007E185F"/>
    <w:rsid w:val="007E1BDD"/>
    <w:rsid w:val="007E1C32"/>
    <w:rsid w:val="007E1F08"/>
    <w:rsid w:val="007E21AF"/>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C89"/>
    <w:rsid w:val="007E5D61"/>
    <w:rsid w:val="007E5F4C"/>
    <w:rsid w:val="007E6015"/>
    <w:rsid w:val="007E60D2"/>
    <w:rsid w:val="007E6759"/>
    <w:rsid w:val="007E679D"/>
    <w:rsid w:val="007E6840"/>
    <w:rsid w:val="007E6A4E"/>
    <w:rsid w:val="007E6C0E"/>
    <w:rsid w:val="007E72C9"/>
    <w:rsid w:val="007E7789"/>
    <w:rsid w:val="007E7C00"/>
    <w:rsid w:val="007E7E27"/>
    <w:rsid w:val="007F0545"/>
    <w:rsid w:val="007F07BA"/>
    <w:rsid w:val="007F0A58"/>
    <w:rsid w:val="007F0D75"/>
    <w:rsid w:val="007F0E18"/>
    <w:rsid w:val="007F1051"/>
    <w:rsid w:val="007F26FA"/>
    <w:rsid w:val="007F2738"/>
    <w:rsid w:val="007F2FF0"/>
    <w:rsid w:val="007F34E3"/>
    <w:rsid w:val="007F373A"/>
    <w:rsid w:val="007F3ACD"/>
    <w:rsid w:val="007F3BBA"/>
    <w:rsid w:val="007F3BE1"/>
    <w:rsid w:val="007F3C81"/>
    <w:rsid w:val="007F4011"/>
    <w:rsid w:val="007F4045"/>
    <w:rsid w:val="007F423F"/>
    <w:rsid w:val="007F42EC"/>
    <w:rsid w:val="007F44DA"/>
    <w:rsid w:val="007F45DE"/>
    <w:rsid w:val="007F46D3"/>
    <w:rsid w:val="007F4A82"/>
    <w:rsid w:val="007F4B5B"/>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7F7E5E"/>
    <w:rsid w:val="0080004E"/>
    <w:rsid w:val="008002B7"/>
    <w:rsid w:val="00800549"/>
    <w:rsid w:val="00800796"/>
    <w:rsid w:val="00800E1B"/>
    <w:rsid w:val="00801109"/>
    <w:rsid w:val="008012EA"/>
    <w:rsid w:val="00801382"/>
    <w:rsid w:val="0080149C"/>
    <w:rsid w:val="008020EF"/>
    <w:rsid w:val="0080235B"/>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7C1"/>
    <w:rsid w:val="0081086F"/>
    <w:rsid w:val="00810AE4"/>
    <w:rsid w:val="00810D24"/>
    <w:rsid w:val="00810EC2"/>
    <w:rsid w:val="008111AE"/>
    <w:rsid w:val="00811229"/>
    <w:rsid w:val="008112C2"/>
    <w:rsid w:val="008116C3"/>
    <w:rsid w:val="0081175B"/>
    <w:rsid w:val="008119CD"/>
    <w:rsid w:val="00811CD4"/>
    <w:rsid w:val="00811FFE"/>
    <w:rsid w:val="00812168"/>
    <w:rsid w:val="008121EF"/>
    <w:rsid w:val="00812339"/>
    <w:rsid w:val="008125CF"/>
    <w:rsid w:val="0081292D"/>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71E"/>
    <w:rsid w:val="00824821"/>
    <w:rsid w:val="00824B30"/>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400C"/>
    <w:rsid w:val="0083423C"/>
    <w:rsid w:val="00834514"/>
    <w:rsid w:val="0083470A"/>
    <w:rsid w:val="00834E81"/>
    <w:rsid w:val="008353C8"/>
    <w:rsid w:val="00835677"/>
    <w:rsid w:val="0083574D"/>
    <w:rsid w:val="00835B59"/>
    <w:rsid w:val="00835BF9"/>
    <w:rsid w:val="00835EDA"/>
    <w:rsid w:val="00835FBA"/>
    <w:rsid w:val="00836096"/>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2186"/>
    <w:rsid w:val="00842340"/>
    <w:rsid w:val="0084255A"/>
    <w:rsid w:val="00842661"/>
    <w:rsid w:val="008430F5"/>
    <w:rsid w:val="00843A34"/>
    <w:rsid w:val="00843BAD"/>
    <w:rsid w:val="00843F12"/>
    <w:rsid w:val="008444B7"/>
    <w:rsid w:val="00844992"/>
    <w:rsid w:val="00844D15"/>
    <w:rsid w:val="00844EAB"/>
    <w:rsid w:val="00844F24"/>
    <w:rsid w:val="00844F59"/>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1BAA"/>
    <w:rsid w:val="00852206"/>
    <w:rsid w:val="0085239A"/>
    <w:rsid w:val="00852636"/>
    <w:rsid w:val="00852B56"/>
    <w:rsid w:val="00852FDE"/>
    <w:rsid w:val="008532DF"/>
    <w:rsid w:val="008536D1"/>
    <w:rsid w:val="00853BFE"/>
    <w:rsid w:val="00853C36"/>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A6"/>
    <w:rsid w:val="00857D02"/>
    <w:rsid w:val="00857E15"/>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262"/>
    <w:rsid w:val="0086639A"/>
    <w:rsid w:val="0086673A"/>
    <w:rsid w:val="00866A4B"/>
    <w:rsid w:val="00866FB9"/>
    <w:rsid w:val="008671FF"/>
    <w:rsid w:val="00867491"/>
    <w:rsid w:val="00867BBC"/>
    <w:rsid w:val="00867BD8"/>
    <w:rsid w:val="00867C69"/>
    <w:rsid w:val="008703FC"/>
    <w:rsid w:val="0087098E"/>
    <w:rsid w:val="00870F62"/>
    <w:rsid w:val="0087109B"/>
    <w:rsid w:val="008711EF"/>
    <w:rsid w:val="008712DE"/>
    <w:rsid w:val="00871AD6"/>
    <w:rsid w:val="00871FEA"/>
    <w:rsid w:val="0087233C"/>
    <w:rsid w:val="008724C4"/>
    <w:rsid w:val="0087285C"/>
    <w:rsid w:val="0087298D"/>
    <w:rsid w:val="008730D2"/>
    <w:rsid w:val="0087322A"/>
    <w:rsid w:val="00873BDE"/>
    <w:rsid w:val="00873BE9"/>
    <w:rsid w:val="00873D5A"/>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863"/>
    <w:rsid w:val="00882992"/>
    <w:rsid w:val="008831D3"/>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7C1"/>
    <w:rsid w:val="0089289F"/>
    <w:rsid w:val="00892A78"/>
    <w:rsid w:val="00892E15"/>
    <w:rsid w:val="008931A9"/>
    <w:rsid w:val="008932E8"/>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5D1A"/>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8F9"/>
    <w:rsid w:val="008A0B1A"/>
    <w:rsid w:val="008A0E04"/>
    <w:rsid w:val="008A0F67"/>
    <w:rsid w:val="008A1473"/>
    <w:rsid w:val="008A14E1"/>
    <w:rsid w:val="008A1BE5"/>
    <w:rsid w:val="008A1D82"/>
    <w:rsid w:val="008A1FE1"/>
    <w:rsid w:val="008A2316"/>
    <w:rsid w:val="008A2680"/>
    <w:rsid w:val="008A27B1"/>
    <w:rsid w:val="008A295F"/>
    <w:rsid w:val="008A311B"/>
    <w:rsid w:val="008A3AFD"/>
    <w:rsid w:val="008A3B38"/>
    <w:rsid w:val="008A3B43"/>
    <w:rsid w:val="008A3B92"/>
    <w:rsid w:val="008A3E29"/>
    <w:rsid w:val="008A3EAE"/>
    <w:rsid w:val="008A3F24"/>
    <w:rsid w:val="008A40CA"/>
    <w:rsid w:val="008A46F4"/>
    <w:rsid w:val="008A4DCA"/>
    <w:rsid w:val="008A50FD"/>
    <w:rsid w:val="008A5259"/>
    <w:rsid w:val="008A53B5"/>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322"/>
    <w:rsid w:val="008B157E"/>
    <w:rsid w:val="008B17EB"/>
    <w:rsid w:val="008B1940"/>
    <w:rsid w:val="008B19F3"/>
    <w:rsid w:val="008B22C9"/>
    <w:rsid w:val="008B24B5"/>
    <w:rsid w:val="008B285C"/>
    <w:rsid w:val="008B2B05"/>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A8D"/>
    <w:rsid w:val="008B5B6D"/>
    <w:rsid w:val="008B6788"/>
    <w:rsid w:val="008B683C"/>
    <w:rsid w:val="008B68AA"/>
    <w:rsid w:val="008B6B2C"/>
    <w:rsid w:val="008B703F"/>
    <w:rsid w:val="008B71A3"/>
    <w:rsid w:val="008B7523"/>
    <w:rsid w:val="008B77B3"/>
    <w:rsid w:val="008B7E04"/>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50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E26"/>
    <w:rsid w:val="008E7F96"/>
    <w:rsid w:val="008F0130"/>
    <w:rsid w:val="008F05BC"/>
    <w:rsid w:val="008F09F9"/>
    <w:rsid w:val="008F0C64"/>
    <w:rsid w:val="008F0D24"/>
    <w:rsid w:val="008F132F"/>
    <w:rsid w:val="008F183A"/>
    <w:rsid w:val="008F187A"/>
    <w:rsid w:val="008F1A19"/>
    <w:rsid w:val="008F1F55"/>
    <w:rsid w:val="008F214D"/>
    <w:rsid w:val="008F22FD"/>
    <w:rsid w:val="008F293B"/>
    <w:rsid w:val="008F2E87"/>
    <w:rsid w:val="008F2ED4"/>
    <w:rsid w:val="008F304D"/>
    <w:rsid w:val="008F3472"/>
    <w:rsid w:val="008F39A0"/>
    <w:rsid w:val="008F3D0D"/>
    <w:rsid w:val="008F3DFB"/>
    <w:rsid w:val="008F4285"/>
    <w:rsid w:val="008F4AC6"/>
    <w:rsid w:val="008F4B79"/>
    <w:rsid w:val="008F4D1A"/>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FD6"/>
    <w:rsid w:val="009102D4"/>
    <w:rsid w:val="00910973"/>
    <w:rsid w:val="00910E21"/>
    <w:rsid w:val="00911191"/>
    <w:rsid w:val="00911240"/>
    <w:rsid w:val="00911455"/>
    <w:rsid w:val="009115AB"/>
    <w:rsid w:val="00911D02"/>
    <w:rsid w:val="00911EFA"/>
    <w:rsid w:val="00912646"/>
    <w:rsid w:val="009129C0"/>
    <w:rsid w:val="00912F42"/>
    <w:rsid w:val="00912F7C"/>
    <w:rsid w:val="00913116"/>
    <w:rsid w:val="00913295"/>
    <w:rsid w:val="009134E1"/>
    <w:rsid w:val="0091368F"/>
    <w:rsid w:val="009136DD"/>
    <w:rsid w:val="009137AC"/>
    <w:rsid w:val="00913C5F"/>
    <w:rsid w:val="00913E83"/>
    <w:rsid w:val="00913F3D"/>
    <w:rsid w:val="00913F69"/>
    <w:rsid w:val="009140F4"/>
    <w:rsid w:val="009141E4"/>
    <w:rsid w:val="00914689"/>
    <w:rsid w:val="0091477F"/>
    <w:rsid w:val="00914A3B"/>
    <w:rsid w:val="00915011"/>
    <w:rsid w:val="009150BD"/>
    <w:rsid w:val="0091537E"/>
    <w:rsid w:val="0091557D"/>
    <w:rsid w:val="009158E9"/>
    <w:rsid w:val="00915A4D"/>
    <w:rsid w:val="009161D2"/>
    <w:rsid w:val="00916347"/>
    <w:rsid w:val="00916AA1"/>
    <w:rsid w:val="00916E90"/>
    <w:rsid w:val="009170A4"/>
    <w:rsid w:val="009176C5"/>
    <w:rsid w:val="00917C56"/>
    <w:rsid w:val="009200B6"/>
    <w:rsid w:val="009201E0"/>
    <w:rsid w:val="0092040A"/>
    <w:rsid w:val="009208EB"/>
    <w:rsid w:val="00920E12"/>
    <w:rsid w:val="00921128"/>
    <w:rsid w:val="009213AA"/>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97C"/>
    <w:rsid w:val="00924BC0"/>
    <w:rsid w:val="00925031"/>
    <w:rsid w:val="009256EF"/>
    <w:rsid w:val="00925A52"/>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4C23"/>
    <w:rsid w:val="00934D6D"/>
    <w:rsid w:val="00935D04"/>
    <w:rsid w:val="00935E29"/>
    <w:rsid w:val="00935EB4"/>
    <w:rsid w:val="00935F7F"/>
    <w:rsid w:val="0093656D"/>
    <w:rsid w:val="009366B6"/>
    <w:rsid w:val="00936838"/>
    <w:rsid w:val="00936DBB"/>
    <w:rsid w:val="00936EA9"/>
    <w:rsid w:val="0093764E"/>
    <w:rsid w:val="009376D1"/>
    <w:rsid w:val="00937A24"/>
    <w:rsid w:val="0094017A"/>
    <w:rsid w:val="0094056A"/>
    <w:rsid w:val="00940D42"/>
    <w:rsid w:val="00940F8E"/>
    <w:rsid w:val="00941013"/>
    <w:rsid w:val="00941072"/>
    <w:rsid w:val="009410F3"/>
    <w:rsid w:val="009415FE"/>
    <w:rsid w:val="0094171F"/>
    <w:rsid w:val="009421AA"/>
    <w:rsid w:val="00942C74"/>
    <w:rsid w:val="00943011"/>
    <w:rsid w:val="0094326D"/>
    <w:rsid w:val="009432A0"/>
    <w:rsid w:val="00943705"/>
    <w:rsid w:val="00943715"/>
    <w:rsid w:val="0094384B"/>
    <w:rsid w:val="00944488"/>
    <w:rsid w:val="009449C1"/>
    <w:rsid w:val="00944C66"/>
    <w:rsid w:val="00944FA6"/>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C50"/>
    <w:rsid w:val="00950D1A"/>
    <w:rsid w:val="00950E3E"/>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5804"/>
    <w:rsid w:val="009559DE"/>
    <w:rsid w:val="009564B0"/>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E6B"/>
    <w:rsid w:val="00962FBC"/>
    <w:rsid w:val="00963180"/>
    <w:rsid w:val="0096356B"/>
    <w:rsid w:val="009635AC"/>
    <w:rsid w:val="0096362E"/>
    <w:rsid w:val="0096367B"/>
    <w:rsid w:val="00963C31"/>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DA"/>
    <w:rsid w:val="00974D58"/>
    <w:rsid w:val="00974EB6"/>
    <w:rsid w:val="00974FCB"/>
    <w:rsid w:val="00974FE1"/>
    <w:rsid w:val="009756A1"/>
    <w:rsid w:val="00975946"/>
    <w:rsid w:val="00975BCF"/>
    <w:rsid w:val="00975C81"/>
    <w:rsid w:val="00976233"/>
    <w:rsid w:val="009763B1"/>
    <w:rsid w:val="00976404"/>
    <w:rsid w:val="009764B6"/>
    <w:rsid w:val="009766BC"/>
    <w:rsid w:val="00976BE5"/>
    <w:rsid w:val="00977257"/>
    <w:rsid w:val="00977262"/>
    <w:rsid w:val="00977346"/>
    <w:rsid w:val="00977348"/>
    <w:rsid w:val="0097746F"/>
    <w:rsid w:val="00977680"/>
    <w:rsid w:val="00977A52"/>
    <w:rsid w:val="00977F07"/>
    <w:rsid w:val="00977F16"/>
    <w:rsid w:val="00980090"/>
    <w:rsid w:val="0098040B"/>
    <w:rsid w:val="00980A21"/>
    <w:rsid w:val="00980D2E"/>
    <w:rsid w:val="0098163A"/>
    <w:rsid w:val="0098177D"/>
    <w:rsid w:val="009818DE"/>
    <w:rsid w:val="00981922"/>
    <w:rsid w:val="00982457"/>
    <w:rsid w:val="00982524"/>
    <w:rsid w:val="0098261F"/>
    <w:rsid w:val="00982784"/>
    <w:rsid w:val="009828DB"/>
    <w:rsid w:val="00982990"/>
    <w:rsid w:val="009831E7"/>
    <w:rsid w:val="00983238"/>
    <w:rsid w:val="00983401"/>
    <w:rsid w:val="009835AE"/>
    <w:rsid w:val="009836FF"/>
    <w:rsid w:val="00983958"/>
    <w:rsid w:val="00983A33"/>
    <w:rsid w:val="00983BFE"/>
    <w:rsid w:val="00983C6E"/>
    <w:rsid w:val="00983F4A"/>
    <w:rsid w:val="009840D0"/>
    <w:rsid w:val="009843EC"/>
    <w:rsid w:val="00985103"/>
    <w:rsid w:val="00985305"/>
    <w:rsid w:val="009853AC"/>
    <w:rsid w:val="009855EC"/>
    <w:rsid w:val="00985670"/>
    <w:rsid w:val="009859E5"/>
    <w:rsid w:val="0098616D"/>
    <w:rsid w:val="00986371"/>
    <w:rsid w:val="00986546"/>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7A"/>
    <w:rsid w:val="00990CC8"/>
    <w:rsid w:val="0099108D"/>
    <w:rsid w:val="00991349"/>
    <w:rsid w:val="00991942"/>
    <w:rsid w:val="00991CB2"/>
    <w:rsid w:val="00991E9C"/>
    <w:rsid w:val="00991FE9"/>
    <w:rsid w:val="009926E7"/>
    <w:rsid w:val="009928ED"/>
    <w:rsid w:val="009929E1"/>
    <w:rsid w:val="00992CE7"/>
    <w:rsid w:val="00993036"/>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7DD"/>
    <w:rsid w:val="009A3BEB"/>
    <w:rsid w:val="009A3C5E"/>
    <w:rsid w:val="009A3C6C"/>
    <w:rsid w:val="009A3E4E"/>
    <w:rsid w:val="009A3FBC"/>
    <w:rsid w:val="009A41F0"/>
    <w:rsid w:val="009A4419"/>
    <w:rsid w:val="009A4715"/>
    <w:rsid w:val="009A4AF8"/>
    <w:rsid w:val="009A4FF9"/>
    <w:rsid w:val="009A5732"/>
    <w:rsid w:val="009A5D6C"/>
    <w:rsid w:val="009A5DAD"/>
    <w:rsid w:val="009A5E4A"/>
    <w:rsid w:val="009A5F09"/>
    <w:rsid w:val="009A605C"/>
    <w:rsid w:val="009A633E"/>
    <w:rsid w:val="009A63B4"/>
    <w:rsid w:val="009A6462"/>
    <w:rsid w:val="009A6796"/>
    <w:rsid w:val="009A6BBA"/>
    <w:rsid w:val="009A6EC1"/>
    <w:rsid w:val="009A733E"/>
    <w:rsid w:val="009A788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916"/>
    <w:rsid w:val="009B3A2C"/>
    <w:rsid w:val="009B3AAF"/>
    <w:rsid w:val="009B3B4D"/>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6FA4"/>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5A5"/>
    <w:rsid w:val="009C3662"/>
    <w:rsid w:val="009C38F4"/>
    <w:rsid w:val="009C3C5B"/>
    <w:rsid w:val="009C4047"/>
    <w:rsid w:val="009C44C7"/>
    <w:rsid w:val="009C4901"/>
    <w:rsid w:val="009C4A9F"/>
    <w:rsid w:val="009C4C25"/>
    <w:rsid w:val="009C4E33"/>
    <w:rsid w:val="009C521B"/>
    <w:rsid w:val="009C5872"/>
    <w:rsid w:val="009C5E12"/>
    <w:rsid w:val="009C5F31"/>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D47"/>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2563"/>
    <w:rsid w:val="009E31BC"/>
    <w:rsid w:val="009E331B"/>
    <w:rsid w:val="009E3651"/>
    <w:rsid w:val="009E37BC"/>
    <w:rsid w:val="009E3A86"/>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FF0"/>
    <w:rsid w:val="009F1472"/>
    <w:rsid w:val="009F1722"/>
    <w:rsid w:val="009F1818"/>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21CF"/>
    <w:rsid w:val="00A02862"/>
    <w:rsid w:val="00A0338E"/>
    <w:rsid w:val="00A03C02"/>
    <w:rsid w:val="00A03D98"/>
    <w:rsid w:val="00A03DA3"/>
    <w:rsid w:val="00A03F1F"/>
    <w:rsid w:val="00A044C5"/>
    <w:rsid w:val="00A045FA"/>
    <w:rsid w:val="00A04E55"/>
    <w:rsid w:val="00A04EDE"/>
    <w:rsid w:val="00A04FCD"/>
    <w:rsid w:val="00A050E1"/>
    <w:rsid w:val="00A05983"/>
    <w:rsid w:val="00A059DB"/>
    <w:rsid w:val="00A05A5F"/>
    <w:rsid w:val="00A05BD0"/>
    <w:rsid w:val="00A05EC1"/>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EA9"/>
    <w:rsid w:val="00A2434D"/>
    <w:rsid w:val="00A2468A"/>
    <w:rsid w:val="00A24C24"/>
    <w:rsid w:val="00A24E18"/>
    <w:rsid w:val="00A24EF8"/>
    <w:rsid w:val="00A252C9"/>
    <w:rsid w:val="00A2568D"/>
    <w:rsid w:val="00A25A6F"/>
    <w:rsid w:val="00A25E5E"/>
    <w:rsid w:val="00A2614E"/>
    <w:rsid w:val="00A263FA"/>
    <w:rsid w:val="00A266C8"/>
    <w:rsid w:val="00A269DB"/>
    <w:rsid w:val="00A26A03"/>
    <w:rsid w:val="00A26A57"/>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7B"/>
    <w:rsid w:val="00A3489F"/>
    <w:rsid w:val="00A34C0D"/>
    <w:rsid w:val="00A34C2C"/>
    <w:rsid w:val="00A34FF6"/>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95E"/>
    <w:rsid w:val="00A42994"/>
    <w:rsid w:val="00A42F4E"/>
    <w:rsid w:val="00A43072"/>
    <w:rsid w:val="00A4307D"/>
    <w:rsid w:val="00A432CC"/>
    <w:rsid w:val="00A43335"/>
    <w:rsid w:val="00A434F5"/>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0C2"/>
    <w:rsid w:val="00A5467A"/>
    <w:rsid w:val="00A54B32"/>
    <w:rsid w:val="00A551BE"/>
    <w:rsid w:val="00A551E2"/>
    <w:rsid w:val="00A5598F"/>
    <w:rsid w:val="00A559B0"/>
    <w:rsid w:val="00A55C76"/>
    <w:rsid w:val="00A55E2B"/>
    <w:rsid w:val="00A55F28"/>
    <w:rsid w:val="00A561A8"/>
    <w:rsid w:val="00A56371"/>
    <w:rsid w:val="00A565FA"/>
    <w:rsid w:val="00A56C97"/>
    <w:rsid w:val="00A56D92"/>
    <w:rsid w:val="00A56E9D"/>
    <w:rsid w:val="00A56F25"/>
    <w:rsid w:val="00A57061"/>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46"/>
    <w:rsid w:val="00A6480F"/>
    <w:rsid w:val="00A64830"/>
    <w:rsid w:val="00A64AE3"/>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C4F"/>
    <w:rsid w:val="00A80CB4"/>
    <w:rsid w:val="00A810E9"/>
    <w:rsid w:val="00A81156"/>
    <w:rsid w:val="00A8150C"/>
    <w:rsid w:val="00A81756"/>
    <w:rsid w:val="00A81869"/>
    <w:rsid w:val="00A8191F"/>
    <w:rsid w:val="00A8201C"/>
    <w:rsid w:val="00A82065"/>
    <w:rsid w:val="00A822A7"/>
    <w:rsid w:val="00A822CC"/>
    <w:rsid w:val="00A82488"/>
    <w:rsid w:val="00A82C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711"/>
    <w:rsid w:val="00A859A7"/>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0D1"/>
    <w:rsid w:val="00A92186"/>
    <w:rsid w:val="00A921FA"/>
    <w:rsid w:val="00A9225D"/>
    <w:rsid w:val="00A9232D"/>
    <w:rsid w:val="00A925C2"/>
    <w:rsid w:val="00A93110"/>
    <w:rsid w:val="00A9341B"/>
    <w:rsid w:val="00A93760"/>
    <w:rsid w:val="00A937BC"/>
    <w:rsid w:val="00A9389F"/>
    <w:rsid w:val="00A93D84"/>
    <w:rsid w:val="00A93D86"/>
    <w:rsid w:val="00A93DEB"/>
    <w:rsid w:val="00A93ED5"/>
    <w:rsid w:val="00A93F95"/>
    <w:rsid w:val="00A9429A"/>
    <w:rsid w:val="00A9486D"/>
    <w:rsid w:val="00A94B7F"/>
    <w:rsid w:val="00A954C3"/>
    <w:rsid w:val="00A95A24"/>
    <w:rsid w:val="00A96119"/>
    <w:rsid w:val="00A96723"/>
    <w:rsid w:val="00A969D8"/>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429"/>
    <w:rsid w:val="00AA2442"/>
    <w:rsid w:val="00AA2505"/>
    <w:rsid w:val="00AA26D4"/>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13B9"/>
    <w:rsid w:val="00AC15F3"/>
    <w:rsid w:val="00AC172A"/>
    <w:rsid w:val="00AC1741"/>
    <w:rsid w:val="00AC1CE5"/>
    <w:rsid w:val="00AC1D3B"/>
    <w:rsid w:val="00AC1FF3"/>
    <w:rsid w:val="00AC2140"/>
    <w:rsid w:val="00AC28A9"/>
    <w:rsid w:val="00AC2DCD"/>
    <w:rsid w:val="00AC3919"/>
    <w:rsid w:val="00AC39AF"/>
    <w:rsid w:val="00AC3A5D"/>
    <w:rsid w:val="00AC3CBA"/>
    <w:rsid w:val="00AC4153"/>
    <w:rsid w:val="00AC444B"/>
    <w:rsid w:val="00AC4491"/>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14"/>
    <w:rsid w:val="00AC6B72"/>
    <w:rsid w:val="00AC6C33"/>
    <w:rsid w:val="00AC6D41"/>
    <w:rsid w:val="00AC6DD5"/>
    <w:rsid w:val="00AC6E2D"/>
    <w:rsid w:val="00AC6F05"/>
    <w:rsid w:val="00AC7021"/>
    <w:rsid w:val="00AC728E"/>
    <w:rsid w:val="00AC7D0C"/>
    <w:rsid w:val="00AC7ECE"/>
    <w:rsid w:val="00AD0B5E"/>
    <w:rsid w:val="00AD0BF4"/>
    <w:rsid w:val="00AD0F0B"/>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6EE"/>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50FF"/>
    <w:rsid w:val="00AE536D"/>
    <w:rsid w:val="00AE5440"/>
    <w:rsid w:val="00AE5A65"/>
    <w:rsid w:val="00AE65C5"/>
    <w:rsid w:val="00AE666E"/>
    <w:rsid w:val="00AE6E8A"/>
    <w:rsid w:val="00AE6F55"/>
    <w:rsid w:val="00AE6FF8"/>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DB9"/>
    <w:rsid w:val="00AF3F7B"/>
    <w:rsid w:val="00AF40B8"/>
    <w:rsid w:val="00AF4322"/>
    <w:rsid w:val="00AF4777"/>
    <w:rsid w:val="00AF49A6"/>
    <w:rsid w:val="00AF55FE"/>
    <w:rsid w:val="00AF58BA"/>
    <w:rsid w:val="00AF5B93"/>
    <w:rsid w:val="00AF5D9F"/>
    <w:rsid w:val="00AF60E6"/>
    <w:rsid w:val="00AF65E0"/>
    <w:rsid w:val="00AF6645"/>
    <w:rsid w:val="00AF665A"/>
    <w:rsid w:val="00AF6B13"/>
    <w:rsid w:val="00AF6E52"/>
    <w:rsid w:val="00AF70B9"/>
    <w:rsid w:val="00AF735B"/>
    <w:rsid w:val="00AF743B"/>
    <w:rsid w:val="00AF74C0"/>
    <w:rsid w:val="00AF7E22"/>
    <w:rsid w:val="00AF7F29"/>
    <w:rsid w:val="00B000E6"/>
    <w:rsid w:val="00B004C7"/>
    <w:rsid w:val="00B00815"/>
    <w:rsid w:val="00B0097E"/>
    <w:rsid w:val="00B00C7F"/>
    <w:rsid w:val="00B00D0C"/>
    <w:rsid w:val="00B00F58"/>
    <w:rsid w:val="00B01561"/>
    <w:rsid w:val="00B0157B"/>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509"/>
    <w:rsid w:val="00B04774"/>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117"/>
    <w:rsid w:val="00B121D2"/>
    <w:rsid w:val="00B12D83"/>
    <w:rsid w:val="00B13328"/>
    <w:rsid w:val="00B13A88"/>
    <w:rsid w:val="00B13B64"/>
    <w:rsid w:val="00B13C30"/>
    <w:rsid w:val="00B13F9D"/>
    <w:rsid w:val="00B1438A"/>
    <w:rsid w:val="00B144EC"/>
    <w:rsid w:val="00B14A67"/>
    <w:rsid w:val="00B14BE6"/>
    <w:rsid w:val="00B14D41"/>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A0A"/>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2AE"/>
    <w:rsid w:val="00B252DF"/>
    <w:rsid w:val="00B25622"/>
    <w:rsid w:val="00B25763"/>
    <w:rsid w:val="00B25787"/>
    <w:rsid w:val="00B25AA4"/>
    <w:rsid w:val="00B25EC5"/>
    <w:rsid w:val="00B26158"/>
    <w:rsid w:val="00B266F8"/>
    <w:rsid w:val="00B2671C"/>
    <w:rsid w:val="00B27309"/>
    <w:rsid w:val="00B274E3"/>
    <w:rsid w:val="00B276A6"/>
    <w:rsid w:val="00B2783A"/>
    <w:rsid w:val="00B27F46"/>
    <w:rsid w:val="00B27F48"/>
    <w:rsid w:val="00B30414"/>
    <w:rsid w:val="00B30A75"/>
    <w:rsid w:val="00B30B5E"/>
    <w:rsid w:val="00B30C2C"/>
    <w:rsid w:val="00B30EFE"/>
    <w:rsid w:val="00B31812"/>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524C"/>
    <w:rsid w:val="00B353E7"/>
    <w:rsid w:val="00B35421"/>
    <w:rsid w:val="00B35714"/>
    <w:rsid w:val="00B35BE9"/>
    <w:rsid w:val="00B360CE"/>
    <w:rsid w:val="00B366FB"/>
    <w:rsid w:val="00B367BF"/>
    <w:rsid w:val="00B36954"/>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DA7"/>
    <w:rsid w:val="00B42EB2"/>
    <w:rsid w:val="00B43186"/>
    <w:rsid w:val="00B43359"/>
    <w:rsid w:val="00B4358D"/>
    <w:rsid w:val="00B43913"/>
    <w:rsid w:val="00B43C0B"/>
    <w:rsid w:val="00B43D6A"/>
    <w:rsid w:val="00B443DC"/>
    <w:rsid w:val="00B446A7"/>
    <w:rsid w:val="00B447AC"/>
    <w:rsid w:val="00B44A0E"/>
    <w:rsid w:val="00B44E83"/>
    <w:rsid w:val="00B45112"/>
    <w:rsid w:val="00B4569C"/>
    <w:rsid w:val="00B457AD"/>
    <w:rsid w:val="00B459C1"/>
    <w:rsid w:val="00B45B80"/>
    <w:rsid w:val="00B45C1A"/>
    <w:rsid w:val="00B45D76"/>
    <w:rsid w:val="00B45E3A"/>
    <w:rsid w:val="00B462F0"/>
    <w:rsid w:val="00B4698C"/>
    <w:rsid w:val="00B46B64"/>
    <w:rsid w:val="00B46E3B"/>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1027"/>
    <w:rsid w:val="00B610DC"/>
    <w:rsid w:val="00B61F00"/>
    <w:rsid w:val="00B62128"/>
    <w:rsid w:val="00B626B1"/>
    <w:rsid w:val="00B629DE"/>
    <w:rsid w:val="00B62A48"/>
    <w:rsid w:val="00B62A97"/>
    <w:rsid w:val="00B62F0C"/>
    <w:rsid w:val="00B637D8"/>
    <w:rsid w:val="00B6381C"/>
    <w:rsid w:val="00B638E2"/>
    <w:rsid w:val="00B640B5"/>
    <w:rsid w:val="00B64294"/>
    <w:rsid w:val="00B642D4"/>
    <w:rsid w:val="00B643C3"/>
    <w:rsid w:val="00B6480E"/>
    <w:rsid w:val="00B64A9C"/>
    <w:rsid w:val="00B64BB8"/>
    <w:rsid w:val="00B64CCB"/>
    <w:rsid w:val="00B64D52"/>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70165"/>
    <w:rsid w:val="00B702A4"/>
    <w:rsid w:val="00B706F3"/>
    <w:rsid w:val="00B7072C"/>
    <w:rsid w:val="00B7085F"/>
    <w:rsid w:val="00B70A7D"/>
    <w:rsid w:val="00B70C78"/>
    <w:rsid w:val="00B70CB8"/>
    <w:rsid w:val="00B71689"/>
    <w:rsid w:val="00B718F8"/>
    <w:rsid w:val="00B71CEF"/>
    <w:rsid w:val="00B72114"/>
    <w:rsid w:val="00B725A5"/>
    <w:rsid w:val="00B72693"/>
    <w:rsid w:val="00B72CC6"/>
    <w:rsid w:val="00B73719"/>
    <w:rsid w:val="00B73F92"/>
    <w:rsid w:val="00B7413F"/>
    <w:rsid w:val="00B741E5"/>
    <w:rsid w:val="00B74365"/>
    <w:rsid w:val="00B745A3"/>
    <w:rsid w:val="00B746CC"/>
    <w:rsid w:val="00B74A4A"/>
    <w:rsid w:val="00B74EEB"/>
    <w:rsid w:val="00B75642"/>
    <w:rsid w:val="00B758E1"/>
    <w:rsid w:val="00B75EB7"/>
    <w:rsid w:val="00B762A1"/>
    <w:rsid w:val="00B7683C"/>
    <w:rsid w:val="00B76840"/>
    <w:rsid w:val="00B76B57"/>
    <w:rsid w:val="00B76C73"/>
    <w:rsid w:val="00B76CDA"/>
    <w:rsid w:val="00B76CE9"/>
    <w:rsid w:val="00B76D99"/>
    <w:rsid w:val="00B76DBC"/>
    <w:rsid w:val="00B770D7"/>
    <w:rsid w:val="00B77411"/>
    <w:rsid w:val="00B77ED7"/>
    <w:rsid w:val="00B8019B"/>
    <w:rsid w:val="00B801B6"/>
    <w:rsid w:val="00B802C1"/>
    <w:rsid w:val="00B8036E"/>
    <w:rsid w:val="00B80587"/>
    <w:rsid w:val="00B80AFA"/>
    <w:rsid w:val="00B80FF0"/>
    <w:rsid w:val="00B81070"/>
    <w:rsid w:val="00B81177"/>
    <w:rsid w:val="00B81494"/>
    <w:rsid w:val="00B8162A"/>
    <w:rsid w:val="00B81E31"/>
    <w:rsid w:val="00B81EFF"/>
    <w:rsid w:val="00B820DE"/>
    <w:rsid w:val="00B82261"/>
    <w:rsid w:val="00B8260D"/>
    <w:rsid w:val="00B826D9"/>
    <w:rsid w:val="00B8284B"/>
    <w:rsid w:val="00B82910"/>
    <w:rsid w:val="00B8338D"/>
    <w:rsid w:val="00B83AEF"/>
    <w:rsid w:val="00B83B55"/>
    <w:rsid w:val="00B83EAD"/>
    <w:rsid w:val="00B841ED"/>
    <w:rsid w:val="00B8425B"/>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72A0"/>
    <w:rsid w:val="00B877B8"/>
    <w:rsid w:val="00B87BCB"/>
    <w:rsid w:val="00B87DE3"/>
    <w:rsid w:val="00B903F7"/>
    <w:rsid w:val="00B90545"/>
    <w:rsid w:val="00B90EFC"/>
    <w:rsid w:val="00B90F81"/>
    <w:rsid w:val="00B911E2"/>
    <w:rsid w:val="00B917C9"/>
    <w:rsid w:val="00B9194E"/>
    <w:rsid w:val="00B9206F"/>
    <w:rsid w:val="00B920F3"/>
    <w:rsid w:val="00B92447"/>
    <w:rsid w:val="00B926A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A9"/>
    <w:rsid w:val="00B97A23"/>
    <w:rsid w:val="00B97B7E"/>
    <w:rsid w:val="00B97DF4"/>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7EC"/>
    <w:rsid w:val="00BB081A"/>
    <w:rsid w:val="00BB08A8"/>
    <w:rsid w:val="00BB08BC"/>
    <w:rsid w:val="00BB1215"/>
    <w:rsid w:val="00BB1245"/>
    <w:rsid w:val="00BB12FC"/>
    <w:rsid w:val="00BB15AB"/>
    <w:rsid w:val="00BB15F1"/>
    <w:rsid w:val="00BB162D"/>
    <w:rsid w:val="00BB1906"/>
    <w:rsid w:val="00BB2271"/>
    <w:rsid w:val="00BB24A7"/>
    <w:rsid w:val="00BB2550"/>
    <w:rsid w:val="00BB2961"/>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D71"/>
    <w:rsid w:val="00BB71D7"/>
    <w:rsid w:val="00BB7280"/>
    <w:rsid w:val="00BB7312"/>
    <w:rsid w:val="00BB7ABF"/>
    <w:rsid w:val="00BB7C33"/>
    <w:rsid w:val="00BC0096"/>
    <w:rsid w:val="00BC031E"/>
    <w:rsid w:val="00BC0363"/>
    <w:rsid w:val="00BC0656"/>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AF9"/>
    <w:rsid w:val="00BC5E44"/>
    <w:rsid w:val="00BC5E65"/>
    <w:rsid w:val="00BC5ED0"/>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EA"/>
    <w:rsid w:val="00BD5069"/>
    <w:rsid w:val="00BD5106"/>
    <w:rsid w:val="00BD529A"/>
    <w:rsid w:val="00BD55E1"/>
    <w:rsid w:val="00BD56B4"/>
    <w:rsid w:val="00BD5AEA"/>
    <w:rsid w:val="00BD5C2B"/>
    <w:rsid w:val="00BD5F7C"/>
    <w:rsid w:val="00BD63E6"/>
    <w:rsid w:val="00BD640E"/>
    <w:rsid w:val="00BD6C14"/>
    <w:rsid w:val="00BD6D90"/>
    <w:rsid w:val="00BD6FC0"/>
    <w:rsid w:val="00BD74A8"/>
    <w:rsid w:val="00BD75A5"/>
    <w:rsid w:val="00BD7A58"/>
    <w:rsid w:val="00BD7B8A"/>
    <w:rsid w:val="00BD7C25"/>
    <w:rsid w:val="00BE0077"/>
    <w:rsid w:val="00BE02C7"/>
    <w:rsid w:val="00BE05E2"/>
    <w:rsid w:val="00BE060B"/>
    <w:rsid w:val="00BE06ED"/>
    <w:rsid w:val="00BE0BA5"/>
    <w:rsid w:val="00BE0C04"/>
    <w:rsid w:val="00BE0CBF"/>
    <w:rsid w:val="00BE0D07"/>
    <w:rsid w:val="00BE0F90"/>
    <w:rsid w:val="00BE10BA"/>
    <w:rsid w:val="00BE167E"/>
    <w:rsid w:val="00BE19B0"/>
    <w:rsid w:val="00BE25B4"/>
    <w:rsid w:val="00BE3180"/>
    <w:rsid w:val="00BE36E1"/>
    <w:rsid w:val="00BE377E"/>
    <w:rsid w:val="00BE3EF2"/>
    <w:rsid w:val="00BE401D"/>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2F3"/>
    <w:rsid w:val="00BE6391"/>
    <w:rsid w:val="00BE68CB"/>
    <w:rsid w:val="00BE6A77"/>
    <w:rsid w:val="00BE702F"/>
    <w:rsid w:val="00BE72CE"/>
    <w:rsid w:val="00BE79A6"/>
    <w:rsid w:val="00BE79F0"/>
    <w:rsid w:val="00BE7A36"/>
    <w:rsid w:val="00BE7C2A"/>
    <w:rsid w:val="00BF032A"/>
    <w:rsid w:val="00BF05CA"/>
    <w:rsid w:val="00BF0F93"/>
    <w:rsid w:val="00BF216B"/>
    <w:rsid w:val="00BF2412"/>
    <w:rsid w:val="00BF2AA3"/>
    <w:rsid w:val="00BF2E33"/>
    <w:rsid w:val="00BF2FBF"/>
    <w:rsid w:val="00BF35BC"/>
    <w:rsid w:val="00BF3B22"/>
    <w:rsid w:val="00BF4100"/>
    <w:rsid w:val="00BF4458"/>
    <w:rsid w:val="00BF486D"/>
    <w:rsid w:val="00BF48C5"/>
    <w:rsid w:val="00BF48FA"/>
    <w:rsid w:val="00BF4F58"/>
    <w:rsid w:val="00BF50AE"/>
    <w:rsid w:val="00BF516C"/>
    <w:rsid w:val="00BF5558"/>
    <w:rsid w:val="00BF69D1"/>
    <w:rsid w:val="00BF6D60"/>
    <w:rsid w:val="00BF70B9"/>
    <w:rsid w:val="00BF7377"/>
    <w:rsid w:val="00BF7451"/>
    <w:rsid w:val="00BF7E62"/>
    <w:rsid w:val="00C0017E"/>
    <w:rsid w:val="00C00370"/>
    <w:rsid w:val="00C0057C"/>
    <w:rsid w:val="00C00927"/>
    <w:rsid w:val="00C00DA3"/>
    <w:rsid w:val="00C00DB9"/>
    <w:rsid w:val="00C00F18"/>
    <w:rsid w:val="00C00FCB"/>
    <w:rsid w:val="00C01167"/>
    <w:rsid w:val="00C01578"/>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3134"/>
    <w:rsid w:val="00C13EB0"/>
    <w:rsid w:val="00C145BA"/>
    <w:rsid w:val="00C15141"/>
    <w:rsid w:val="00C152AA"/>
    <w:rsid w:val="00C1531C"/>
    <w:rsid w:val="00C1542D"/>
    <w:rsid w:val="00C157C9"/>
    <w:rsid w:val="00C15964"/>
    <w:rsid w:val="00C15C21"/>
    <w:rsid w:val="00C15CA7"/>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EF5"/>
    <w:rsid w:val="00C250A3"/>
    <w:rsid w:val="00C2561D"/>
    <w:rsid w:val="00C258B1"/>
    <w:rsid w:val="00C25C1A"/>
    <w:rsid w:val="00C2626E"/>
    <w:rsid w:val="00C2657B"/>
    <w:rsid w:val="00C266A8"/>
    <w:rsid w:val="00C26A79"/>
    <w:rsid w:val="00C26F16"/>
    <w:rsid w:val="00C272D4"/>
    <w:rsid w:val="00C2737B"/>
    <w:rsid w:val="00C274CE"/>
    <w:rsid w:val="00C2796B"/>
    <w:rsid w:val="00C27B00"/>
    <w:rsid w:val="00C3000D"/>
    <w:rsid w:val="00C30514"/>
    <w:rsid w:val="00C30783"/>
    <w:rsid w:val="00C3093C"/>
    <w:rsid w:val="00C30ECB"/>
    <w:rsid w:val="00C30F57"/>
    <w:rsid w:val="00C30FD5"/>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17"/>
    <w:rsid w:val="00C37680"/>
    <w:rsid w:val="00C37827"/>
    <w:rsid w:val="00C37F2D"/>
    <w:rsid w:val="00C4008E"/>
    <w:rsid w:val="00C403F6"/>
    <w:rsid w:val="00C409B4"/>
    <w:rsid w:val="00C41283"/>
    <w:rsid w:val="00C415E1"/>
    <w:rsid w:val="00C4165D"/>
    <w:rsid w:val="00C41AB5"/>
    <w:rsid w:val="00C41BA5"/>
    <w:rsid w:val="00C41D36"/>
    <w:rsid w:val="00C41FF8"/>
    <w:rsid w:val="00C4215A"/>
    <w:rsid w:val="00C42318"/>
    <w:rsid w:val="00C4236C"/>
    <w:rsid w:val="00C423A4"/>
    <w:rsid w:val="00C4294C"/>
    <w:rsid w:val="00C42C22"/>
    <w:rsid w:val="00C42E7C"/>
    <w:rsid w:val="00C42F7F"/>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110B"/>
    <w:rsid w:val="00C514BC"/>
    <w:rsid w:val="00C515A3"/>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421"/>
    <w:rsid w:val="00C635BF"/>
    <w:rsid w:val="00C63ABC"/>
    <w:rsid w:val="00C63E9B"/>
    <w:rsid w:val="00C642C7"/>
    <w:rsid w:val="00C64B52"/>
    <w:rsid w:val="00C64CA7"/>
    <w:rsid w:val="00C65023"/>
    <w:rsid w:val="00C6518F"/>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1669"/>
    <w:rsid w:val="00C71E0D"/>
    <w:rsid w:val="00C72454"/>
    <w:rsid w:val="00C7258B"/>
    <w:rsid w:val="00C7293E"/>
    <w:rsid w:val="00C72A3F"/>
    <w:rsid w:val="00C72CA3"/>
    <w:rsid w:val="00C730B4"/>
    <w:rsid w:val="00C734D0"/>
    <w:rsid w:val="00C73C6F"/>
    <w:rsid w:val="00C74449"/>
    <w:rsid w:val="00C74A06"/>
    <w:rsid w:val="00C74C3D"/>
    <w:rsid w:val="00C74ECF"/>
    <w:rsid w:val="00C757FD"/>
    <w:rsid w:val="00C75AC6"/>
    <w:rsid w:val="00C76220"/>
    <w:rsid w:val="00C766EA"/>
    <w:rsid w:val="00C7678A"/>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C90"/>
    <w:rsid w:val="00C83FBB"/>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41A"/>
    <w:rsid w:val="00C929C8"/>
    <w:rsid w:val="00C92A4A"/>
    <w:rsid w:val="00C93B69"/>
    <w:rsid w:val="00C93C96"/>
    <w:rsid w:val="00C9406A"/>
    <w:rsid w:val="00C9406E"/>
    <w:rsid w:val="00C9436B"/>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C8"/>
    <w:rsid w:val="00C97AD2"/>
    <w:rsid w:val="00C97B38"/>
    <w:rsid w:val="00C97CF9"/>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0FA5"/>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5230"/>
    <w:rsid w:val="00CB55B0"/>
    <w:rsid w:val="00CB5761"/>
    <w:rsid w:val="00CB5B53"/>
    <w:rsid w:val="00CB5B7B"/>
    <w:rsid w:val="00CB6095"/>
    <w:rsid w:val="00CB66AA"/>
    <w:rsid w:val="00CB672C"/>
    <w:rsid w:val="00CB6898"/>
    <w:rsid w:val="00CB6A9F"/>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C6D"/>
    <w:rsid w:val="00CC2462"/>
    <w:rsid w:val="00CC2466"/>
    <w:rsid w:val="00CC27FB"/>
    <w:rsid w:val="00CC325A"/>
    <w:rsid w:val="00CC3308"/>
    <w:rsid w:val="00CC36F6"/>
    <w:rsid w:val="00CC387B"/>
    <w:rsid w:val="00CC3CF3"/>
    <w:rsid w:val="00CC3FC5"/>
    <w:rsid w:val="00CC3FDA"/>
    <w:rsid w:val="00CC4C24"/>
    <w:rsid w:val="00CC4C7F"/>
    <w:rsid w:val="00CC536B"/>
    <w:rsid w:val="00CC5784"/>
    <w:rsid w:val="00CC5858"/>
    <w:rsid w:val="00CC5B49"/>
    <w:rsid w:val="00CC66FE"/>
    <w:rsid w:val="00CC6988"/>
    <w:rsid w:val="00CC6AE0"/>
    <w:rsid w:val="00CC6FF1"/>
    <w:rsid w:val="00CC700A"/>
    <w:rsid w:val="00CC705D"/>
    <w:rsid w:val="00CC71A8"/>
    <w:rsid w:val="00CC7471"/>
    <w:rsid w:val="00CC74F5"/>
    <w:rsid w:val="00CC7748"/>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A74"/>
    <w:rsid w:val="00CD5D18"/>
    <w:rsid w:val="00CD5E5A"/>
    <w:rsid w:val="00CD5E8A"/>
    <w:rsid w:val="00CD6049"/>
    <w:rsid w:val="00CD62A4"/>
    <w:rsid w:val="00CD6482"/>
    <w:rsid w:val="00CD6655"/>
    <w:rsid w:val="00CD6B76"/>
    <w:rsid w:val="00CD74DB"/>
    <w:rsid w:val="00CD74F8"/>
    <w:rsid w:val="00CD785E"/>
    <w:rsid w:val="00CD7C65"/>
    <w:rsid w:val="00CE00CD"/>
    <w:rsid w:val="00CE02D1"/>
    <w:rsid w:val="00CE045B"/>
    <w:rsid w:val="00CE08D3"/>
    <w:rsid w:val="00CE0A9A"/>
    <w:rsid w:val="00CE0C6E"/>
    <w:rsid w:val="00CE0E22"/>
    <w:rsid w:val="00CE0FC6"/>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726F"/>
    <w:rsid w:val="00CE73C6"/>
    <w:rsid w:val="00CE7513"/>
    <w:rsid w:val="00CE79F9"/>
    <w:rsid w:val="00CE7F8B"/>
    <w:rsid w:val="00CF02D0"/>
    <w:rsid w:val="00CF0824"/>
    <w:rsid w:val="00CF0A8F"/>
    <w:rsid w:val="00CF0AD4"/>
    <w:rsid w:val="00CF0FDC"/>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5E8"/>
    <w:rsid w:val="00D07B4C"/>
    <w:rsid w:val="00D1002C"/>
    <w:rsid w:val="00D10A06"/>
    <w:rsid w:val="00D10FA3"/>
    <w:rsid w:val="00D115E0"/>
    <w:rsid w:val="00D117E3"/>
    <w:rsid w:val="00D11D7F"/>
    <w:rsid w:val="00D11F92"/>
    <w:rsid w:val="00D121A3"/>
    <w:rsid w:val="00D12497"/>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632"/>
    <w:rsid w:val="00D21A76"/>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988"/>
    <w:rsid w:val="00D24B65"/>
    <w:rsid w:val="00D24D7B"/>
    <w:rsid w:val="00D24DF3"/>
    <w:rsid w:val="00D24E0A"/>
    <w:rsid w:val="00D252ED"/>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435"/>
    <w:rsid w:val="00D33821"/>
    <w:rsid w:val="00D33D98"/>
    <w:rsid w:val="00D3421F"/>
    <w:rsid w:val="00D3427F"/>
    <w:rsid w:val="00D342EF"/>
    <w:rsid w:val="00D343C8"/>
    <w:rsid w:val="00D34602"/>
    <w:rsid w:val="00D346C6"/>
    <w:rsid w:val="00D34B52"/>
    <w:rsid w:val="00D34D45"/>
    <w:rsid w:val="00D3533A"/>
    <w:rsid w:val="00D3568F"/>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85"/>
    <w:rsid w:val="00D41A1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86"/>
    <w:rsid w:val="00D47328"/>
    <w:rsid w:val="00D474FC"/>
    <w:rsid w:val="00D47DEC"/>
    <w:rsid w:val="00D47F1D"/>
    <w:rsid w:val="00D50141"/>
    <w:rsid w:val="00D5015F"/>
    <w:rsid w:val="00D50778"/>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208"/>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9B0"/>
    <w:rsid w:val="00D62C8E"/>
    <w:rsid w:val="00D63077"/>
    <w:rsid w:val="00D637D4"/>
    <w:rsid w:val="00D63C28"/>
    <w:rsid w:val="00D63C8F"/>
    <w:rsid w:val="00D63EE4"/>
    <w:rsid w:val="00D63FDA"/>
    <w:rsid w:val="00D643C3"/>
    <w:rsid w:val="00D6485A"/>
    <w:rsid w:val="00D6492E"/>
    <w:rsid w:val="00D64957"/>
    <w:rsid w:val="00D64AC6"/>
    <w:rsid w:val="00D64CEA"/>
    <w:rsid w:val="00D64DA8"/>
    <w:rsid w:val="00D652C9"/>
    <w:rsid w:val="00D6555C"/>
    <w:rsid w:val="00D65907"/>
    <w:rsid w:val="00D65993"/>
    <w:rsid w:val="00D66395"/>
    <w:rsid w:val="00D66480"/>
    <w:rsid w:val="00D669D8"/>
    <w:rsid w:val="00D66CB7"/>
    <w:rsid w:val="00D6781E"/>
    <w:rsid w:val="00D67A31"/>
    <w:rsid w:val="00D67B52"/>
    <w:rsid w:val="00D702CB"/>
    <w:rsid w:val="00D704F1"/>
    <w:rsid w:val="00D70B8C"/>
    <w:rsid w:val="00D71097"/>
    <w:rsid w:val="00D710C8"/>
    <w:rsid w:val="00D711BF"/>
    <w:rsid w:val="00D71430"/>
    <w:rsid w:val="00D71445"/>
    <w:rsid w:val="00D7152D"/>
    <w:rsid w:val="00D715C0"/>
    <w:rsid w:val="00D7181F"/>
    <w:rsid w:val="00D71AFE"/>
    <w:rsid w:val="00D71CE6"/>
    <w:rsid w:val="00D720F6"/>
    <w:rsid w:val="00D724D0"/>
    <w:rsid w:val="00D72656"/>
    <w:rsid w:val="00D726A3"/>
    <w:rsid w:val="00D7281D"/>
    <w:rsid w:val="00D728B5"/>
    <w:rsid w:val="00D72AAB"/>
    <w:rsid w:val="00D72C0D"/>
    <w:rsid w:val="00D73236"/>
    <w:rsid w:val="00D7328E"/>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4C"/>
    <w:rsid w:val="00D822B7"/>
    <w:rsid w:val="00D82589"/>
    <w:rsid w:val="00D8280C"/>
    <w:rsid w:val="00D82880"/>
    <w:rsid w:val="00D8298A"/>
    <w:rsid w:val="00D83208"/>
    <w:rsid w:val="00D837F3"/>
    <w:rsid w:val="00D8386C"/>
    <w:rsid w:val="00D8393F"/>
    <w:rsid w:val="00D83A6E"/>
    <w:rsid w:val="00D83D60"/>
    <w:rsid w:val="00D83D6B"/>
    <w:rsid w:val="00D83DC8"/>
    <w:rsid w:val="00D8432C"/>
    <w:rsid w:val="00D843F9"/>
    <w:rsid w:val="00D84979"/>
    <w:rsid w:val="00D84D15"/>
    <w:rsid w:val="00D851F4"/>
    <w:rsid w:val="00D85738"/>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582"/>
    <w:rsid w:val="00DC4594"/>
    <w:rsid w:val="00DC46D3"/>
    <w:rsid w:val="00DC488F"/>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6214"/>
    <w:rsid w:val="00DF62C1"/>
    <w:rsid w:val="00DF6AB3"/>
    <w:rsid w:val="00DF6B1F"/>
    <w:rsid w:val="00DF6DA5"/>
    <w:rsid w:val="00DF76C1"/>
    <w:rsid w:val="00DF7713"/>
    <w:rsid w:val="00DF7955"/>
    <w:rsid w:val="00DF7AB4"/>
    <w:rsid w:val="00DF7BA0"/>
    <w:rsid w:val="00DF7F90"/>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71AA"/>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5D"/>
    <w:rsid w:val="00E14AE8"/>
    <w:rsid w:val="00E1502D"/>
    <w:rsid w:val="00E15043"/>
    <w:rsid w:val="00E15237"/>
    <w:rsid w:val="00E1539B"/>
    <w:rsid w:val="00E15575"/>
    <w:rsid w:val="00E15622"/>
    <w:rsid w:val="00E156B0"/>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9A"/>
    <w:rsid w:val="00E300F2"/>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896"/>
    <w:rsid w:val="00E35E63"/>
    <w:rsid w:val="00E35EBF"/>
    <w:rsid w:val="00E361B2"/>
    <w:rsid w:val="00E3666E"/>
    <w:rsid w:val="00E368FA"/>
    <w:rsid w:val="00E36C3E"/>
    <w:rsid w:val="00E370BC"/>
    <w:rsid w:val="00E371C3"/>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B8E"/>
    <w:rsid w:val="00E41F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70EB"/>
    <w:rsid w:val="00E4716F"/>
    <w:rsid w:val="00E472C5"/>
    <w:rsid w:val="00E47456"/>
    <w:rsid w:val="00E4761D"/>
    <w:rsid w:val="00E47F30"/>
    <w:rsid w:val="00E47F34"/>
    <w:rsid w:val="00E50338"/>
    <w:rsid w:val="00E5038B"/>
    <w:rsid w:val="00E50706"/>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77"/>
    <w:rsid w:val="00E567D7"/>
    <w:rsid w:val="00E567E4"/>
    <w:rsid w:val="00E568A6"/>
    <w:rsid w:val="00E56EE8"/>
    <w:rsid w:val="00E579B2"/>
    <w:rsid w:val="00E601F5"/>
    <w:rsid w:val="00E60264"/>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1BB"/>
    <w:rsid w:val="00E722F6"/>
    <w:rsid w:val="00E72965"/>
    <w:rsid w:val="00E72E24"/>
    <w:rsid w:val="00E732BC"/>
    <w:rsid w:val="00E73711"/>
    <w:rsid w:val="00E73BB1"/>
    <w:rsid w:val="00E73D50"/>
    <w:rsid w:val="00E74043"/>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7"/>
    <w:rsid w:val="00E91D67"/>
    <w:rsid w:val="00E92455"/>
    <w:rsid w:val="00E92603"/>
    <w:rsid w:val="00E927DD"/>
    <w:rsid w:val="00E928A3"/>
    <w:rsid w:val="00E92AE4"/>
    <w:rsid w:val="00E92BFE"/>
    <w:rsid w:val="00E932AF"/>
    <w:rsid w:val="00E936B1"/>
    <w:rsid w:val="00E93FD2"/>
    <w:rsid w:val="00E94099"/>
    <w:rsid w:val="00E94208"/>
    <w:rsid w:val="00E94695"/>
    <w:rsid w:val="00E94A79"/>
    <w:rsid w:val="00E94B05"/>
    <w:rsid w:val="00E9508E"/>
    <w:rsid w:val="00E95827"/>
    <w:rsid w:val="00E958DB"/>
    <w:rsid w:val="00E958FC"/>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C85"/>
    <w:rsid w:val="00EA5D57"/>
    <w:rsid w:val="00EA5D61"/>
    <w:rsid w:val="00EA61D3"/>
    <w:rsid w:val="00EA6606"/>
    <w:rsid w:val="00EA67CE"/>
    <w:rsid w:val="00EA6839"/>
    <w:rsid w:val="00EA68E3"/>
    <w:rsid w:val="00EA6ED2"/>
    <w:rsid w:val="00EA72C6"/>
    <w:rsid w:val="00EA7363"/>
    <w:rsid w:val="00EA783C"/>
    <w:rsid w:val="00EA78FC"/>
    <w:rsid w:val="00EA7B38"/>
    <w:rsid w:val="00EA7B5C"/>
    <w:rsid w:val="00EB0BD6"/>
    <w:rsid w:val="00EB0C09"/>
    <w:rsid w:val="00EB0FAB"/>
    <w:rsid w:val="00EB147A"/>
    <w:rsid w:val="00EB311E"/>
    <w:rsid w:val="00EB32E0"/>
    <w:rsid w:val="00EB349C"/>
    <w:rsid w:val="00EB37B2"/>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24E"/>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401D"/>
    <w:rsid w:val="00ED4121"/>
    <w:rsid w:val="00ED4811"/>
    <w:rsid w:val="00ED486D"/>
    <w:rsid w:val="00ED49D6"/>
    <w:rsid w:val="00ED4BF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D6E"/>
    <w:rsid w:val="00EE5024"/>
    <w:rsid w:val="00EE5326"/>
    <w:rsid w:val="00EE5C91"/>
    <w:rsid w:val="00EE5F37"/>
    <w:rsid w:val="00EE6047"/>
    <w:rsid w:val="00EE60D5"/>
    <w:rsid w:val="00EE6159"/>
    <w:rsid w:val="00EE6C01"/>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8D8"/>
    <w:rsid w:val="00F03ABB"/>
    <w:rsid w:val="00F03D0A"/>
    <w:rsid w:val="00F03DC7"/>
    <w:rsid w:val="00F03F48"/>
    <w:rsid w:val="00F0402B"/>
    <w:rsid w:val="00F040E9"/>
    <w:rsid w:val="00F040F9"/>
    <w:rsid w:val="00F046C3"/>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AFB"/>
    <w:rsid w:val="00F12B7C"/>
    <w:rsid w:val="00F12F1B"/>
    <w:rsid w:val="00F1318F"/>
    <w:rsid w:val="00F13842"/>
    <w:rsid w:val="00F13A51"/>
    <w:rsid w:val="00F13C48"/>
    <w:rsid w:val="00F142A4"/>
    <w:rsid w:val="00F142F8"/>
    <w:rsid w:val="00F1486E"/>
    <w:rsid w:val="00F14FB1"/>
    <w:rsid w:val="00F14FF3"/>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2E7F"/>
    <w:rsid w:val="00F23042"/>
    <w:rsid w:val="00F23095"/>
    <w:rsid w:val="00F23150"/>
    <w:rsid w:val="00F2343B"/>
    <w:rsid w:val="00F235FA"/>
    <w:rsid w:val="00F238C4"/>
    <w:rsid w:val="00F23AC0"/>
    <w:rsid w:val="00F23D28"/>
    <w:rsid w:val="00F23DAD"/>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D2"/>
    <w:rsid w:val="00F26C7D"/>
    <w:rsid w:val="00F26E53"/>
    <w:rsid w:val="00F27025"/>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1CE"/>
    <w:rsid w:val="00F32BD5"/>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582"/>
    <w:rsid w:val="00F36B19"/>
    <w:rsid w:val="00F36B7B"/>
    <w:rsid w:val="00F36E8A"/>
    <w:rsid w:val="00F3731F"/>
    <w:rsid w:val="00F374D0"/>
    <w:rsid w:val="00F37C51"/>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D61"/>
    <w:rsid w:val="00F44F40"/>
    <w:rsid w:val="00F4511A"/>
    <w:rsid w:val="00F455DD"/>
    <w:rsid w:val="00F45DB4"/>
    <w:rsid w:val="00F460FD"/>
    <w:rsid w:val="00F46176"/>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556"/>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E54"/>
    <w:rsid w:val="00F55FC3"/>
    <w:rsid w:val="00F56149"/>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F5"/>
    <w:rsid w:val="00F61166"/>
    <w:rsid w:val="00F614B1"/>
    <w:rsid w:val="00F616C5"/>
    <w:rsid w:val="00F617A5"/>
    <w:rsid w:val="00F623D2"/>
    <w:rsid w:val="00F6245C"/>
    <w:rsid w:val="00F62B05"/>
    <w:rsid w:val="00F62BB6"/>
    <w:rsid w:val="00F62E01"/>
    <w:rsid w:val="00F62E11"/>
    <w:rsid w:val="00F63205"/>
    <w:rsid w:val="00F632A0"/>
    <w:rsid w:val="00F63E3B"/>
    <w:rsid w:val="00F64502"/>
    <w:rsid w:val="00F64C22"/>
    <w:rsid w:val="00F65473"/>
    <w:rsid w:val="00F65EDB"/>
    <w:rsid w:val="00F66093"/>
    <w:rsid w:val="00F660F0"/>
    <w:rsid w:val="00F66635"/>
    <w:rsid w:val="00F66656"/>
    <w:rsid w:val="00F66D19"/>
    <w:rsid w:val="00F671B6"/>
    <w:rsid w:val="00F671F9"/>
    <w:rsid w:val="00F676FD"/>
    <w:rsid w:val="00F67D57"/>
    <w:rsid w:val="00F70618"/>
    <w:rsid w:val="00F70774"/>
    <w:rsid w:val="00F70BEC"/>
    <w:rsid w:val="00F70CD9"/>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CF1"/>
    <w:rsid w:val="00F73FEF"/>
    <w:rsid w:val="00F74753"/>
    <w:rsid w:val="00F74768"/>
    <w:rsid w:val="00F748D4"/>
    <w:rsid w:val="00F74A0D"/>
    <w:rsid w:val="00F74A8B"/>
    <w:rsid w:val="00F7518E"/>
    <w:rsid w:val="00F754E7"/>
    <w:rsid w:val="00F75893"/>
    <w:rsid w:val="00F758B4"/>
    <w:rsid w:val="00F75EA2"/>
    <w:rsid w:val="00F7601F"/>
    <w:rsid w:val="00F76DD7"/>
    <w:rsid w:val="00F76F23"/>
    <w:rsid w:val="00F77061"/>
    <w:rsid w:val="00F775A4"/>
    <w:rsid w:val="00F776F4"/>
    <w:rsid w:val="00F77A39"/>
    <w:rsid w:val="00F80535"/>
    <w:rsid w:val="00F80F1D"/>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294"/>
    <w:rsid w:val="00F8532B"/>
    <w:rsid w:val="00F85465"/>
    <w:rsid w:val="00F85F06"/>
    <w:rsid w:val="00F86E2B"/>
    <w:rsid w:val="00F87307"/>
    <w:rsid w:val="00F87495"/>
    <w:rsid w:val="00F874CB"/>
    <w:rsid w:val="00F876CA"/>
    <w:rsid w:val="00F87C13"/>
    <w:rsid w:val="00F87E3E"/>
    <w:rsid w:val="00F9001E"/>
    <w:rsid w:val="00F90D11"/>
    <w:rsid w:val="00F91074"/>
    <w:rsid w:val="00F9117E"/>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635B"/>
    <w:rsid w:val="00F9658B"/>
    <w:rsid w:val="00F968A0"/>
    <w:rsid w:val="00F96F33"/>
    <w:rsid w:val="00F971CC"/>
    <w:rsid w:val="00F97934"/>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BC"/>
    <w:rsid w:val="00FA5DBB"/>
    <w:rsid w:val="00FA63C5"/>
    <w:rsid w:val="00FA6540"/>
    <w:rsid w:val="00FA69AE"/>
    <w:rsid w:val="00FA6B22"/>
    <w:rsid w:val="00FA6BE1"/>
    <w:rsid w:val="00FA7028"/>
    <w:rsid w:val="00FA70D8"/>
    <w:rsid w:val="00FA74AE"/>
    <w:rsid w:val="00FA7513"/>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BEF"/>
    <w:rsid w:val="00FC3DAE"/>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60C"/>
    <w:rsid w:val="00FD3B55"/>
    <w:rsid w:val="00FD4259"/>
    <w:rsid w:val="00FD437B"/>
    <w:rsid w:val="00FD43A0"/>
    <w:rsid w:val="00FD4859"/>
    <w:rsid w:val="00FD4B03"/>
    <w:rsid w:val="00FD54F6"/>
    <w:rsid w:val="00FD5511"/>
    <w:rsid w:val="00FD5C39"/>
    <w:rsid w:val="00FD5FAE"/>
    <w:rsid w:val="00FD6104"/>
    <w:rsid w:val="00FD6540"/>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52A"/>
    <w:rsid w:val="00FE2B1B"/>
    <w:rsid w:val="00FE2BCC"/>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9C8"/>
    <w:rsid w:val="00FE6A1D"/>
    <w:rsid w:val="00FE6CC9"/>
    <w:rsid w:val="00FE7017"/>
    <w:rsid w:val="00FE7234"/>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54A"/>
    <w:rsid w:val="00FF56B7"/>
    <w:rsid w:val="00FF5A77"/>
    <w:rsid w:val="00FF5A97"/>
    <w:rsid w:val="00FF5B0C"/>
    <w:rsid w:val="00FF5BED"/>
    <w:rsid w:val="00FF5C21"/>
    <w:rsid w:val="00FF6009"/>
    <w:rsid w:val="00FF62F3"/>
    <w:rsid w:val="00FF6309"/>
    <w:rsid w:val="00FF678F"/>
    <w:rsid w:val="00FF6CD1"/>
    <w:rsid w:val="00FF6F59"/>
    <w:rsid w:val="00FF7077"/>
    <w:rsid w:val="00FF71D7"/>
    <w:rsid w:val="00FF75FC"/>
    <w:rsid w:val="00FF7A60"/>
    <w:rsid w:val="00FF7A90"/>
    <w:rsid w:val="00FF7E4D"/>
    <w:rsid w:val="0115454E"/>
    <w:rsid w:val="01240FDF"/>
    <w:rsid w:val="01242C11"/>
    <w:rsid w:val="013B5510"/>
    <w:rsid w:val="013D13C6"/>
    <w:rsid w:val="01422B07"/>
    <w:rsid w:val="01462EFE"/>
    <w:rsid w:val="015C5851"/>
    <w:rsid w:val="015E0BE9"/>
    <w:rsid w:val="01794BDA"/>
    <w:rsid w:val="018F1416"/>
    <w:rsid w:val="01AB094A"/>
    <w:rsid w:val="01AE21DC"/>
    <w:rsid w:val="01B306E4"/>
    <w:rsid w:val="01D27A5F"/>
    <w:rsid w:val="01F30CA7"/>
    <w:rsid w:val="0201766A"/>
    <w:rsid w:val="02151F95"/>
    <w:rsid w:val="021C66AC"/>
    <w:rsid w:val="022E47B0"/>
    <w:rsid w:val="02554999"/>
    <w:rsid w:val="02574326"/>
    <w:rsid w:val="025B75F9"/>
    <w:rsid w:val="02767EF6"/>
    <w:rsid w:val="02B34E07"/>
    <w:rsid w:val="02E818F1"/>
    <w:rsid w:val="030F5EB8"/>
    <w:rsid w:val="031B3D3A"/>
    <w:rsid w:val="03300F14"/>
    <w:rsid w:val="03382F46"/>
    <w:rsid w:val="033A53C5"/>
    <w:rsid w:val="037C375A"/>
    <w:rsid w:val="037C5BED"/>
    <w:rsid w:val="03871F70"/>
    <w:rsid w:val="03915486"/>
    <w:rsid w:val="03AE2B70"/>
    <w:rsid w:val="03C200B6"/>
    <w:rsid w:val="03D545B3"/>
    <w:rsid w:val="03D81924"/>
    <w:rsid w:val="03E9024B"/>
    <w:rsid w:val="03E925DE"/>
    <w:rsid w:val="03F638B5"/>
    <w:rsid w:val="042B188D"/>
    <w:rsid w:val="04314521"/>
    <w:rsid w:val="043A302C"/>
    <w:rsid w:val="043B6AB1"/>
    <w:rsid w:val="043F479D"/>
    <w:rsid w:val="046A03D5"/>
    <w:rsid w:val="046C35A2"/>
    <w:rsid w:val="0492209E"/>
    <w:rsid w:val="04B345F7"/>
    <w:rsid w:val="04B6540E"/>
    <w:rsid w:val="04BE7DD0"/>
    <w:rsid w:val="04EB3650"/>
    <w:rsid w:val="04F814D3"/>
    <w:rsid w:val="050D0125"/>
    <w:rsid w:val="052A7727"/>
    <w:rsid w:val="054445DB"/>
    <w:rsid w:val="055A06C9"/>
    <w:rsid w:val="05702DF2"/>
    <w:rsid w:val="05733EFD"/>
    <w:rsid w:val="058D2653"/>
    <w:rsid w:val="05930449"/>
    <w:rsid w:val="05A11E98"/>
    <w:rsid w:val="05EA3121"/>
    <w:rsid w:val="05EB37CA"/>
    <w:rsid w:val="05EF39F0"/>
    <w:rsid w:val="060D79A1"/>
    <w:rsid w:val="060E00E0"/>
    <w:rsid w:val="06257099"/>
    <w:rsid w:val="065632D7"/>
    <w:rsid w:val="065B028A"/>
    <w:rsid w:val="06607FA3"/>
    <w:rsid w:val="06614D3F"/>
    <w:rsid w:val="067751BD"/>
    <w:rsid w:val="06CF7159"/>
    <w:rsid w:val="06D32D7E"/>
    <w:rsid w:val="06E21138"/>
    <w:rsid w:val="06E64C63"/>
    <w:rsid w:val="06F24EF2"/>
    <w:rsid w:val="07470651"/>
    <w:rsid w:val="075815C4"/>
    <w:rsid w:val="07AE7932"/>
    <w:rsid w:val="07B814E5"/>
    <w:rsid w:val="07D013A8"/>
    <w:rsid w:val="07D648D8"/>
    <w:rsid w:val="07FD44E9"/>
    <w:rsid w:val="0805407D"/>
    <w:rsid w:val="08127126"/>
    <w:rsid w:val="08132E8B"/>
    <w:rsid w:val="081D706E"/>
    <w:rsid w:val="085D519A"/>
    <w:rsid w:val="086D1BC3"/>
    <w:rsid w:val="08706B4B"/>
    <w:rsid w:val="088B79C8"/>
    <w:rsid w:val="08BD698B"/>
    <w:rsid w:val="08CE61CB"/>
    <w:rsid w:val="08D2064E"/>
    <w:rsid w:val="08F34A4F"/>
    <w:rsid w:val="08F44BC5"/>
    <w:rsid w:val="08FA203B"/>
    <w:rsid w:val="091A5D92"/>
    <w:rsid w:val="094B14E7"/>
    <w:rsid w:val="095256C8"/>
    <w:rsid w:val="09AB29D4"/>
    <w:rsid w:val="0A32370E"/>
    <w:rsid w:val="0A3247B9"/>
    <w:rsid w:val="0A585A2D"/>
    <w:rsid w:val="0A594E3E"/>
    <w:rsid w:val="0A5C768D"/>
    <w:rsid w:val="0A6F50FD"/>
    <w:rsid w:val="0A7C4F4C"/>
    <w:rsid w:val="0A934843"/>
    <w:rsid w:val="0A980D85"/>
    <w:rsid w:val="0A9E4A8D"/>
    <w:rsid w:val="0A9F2012"/>
    <w:rsid w:val="0AAA6D9C"/>
    <w:rsid w:val="0AB53627"/>
    <w:rsid w:val="0ACE1EAB"/>
    <w:rsid w:val="0AE57C7B"/>
    <w:rsid w:val="0AE65CB9"/>
    <w:rsid w:val="0AE96B11"/>
    <w:rsid w:val="0AFD09EB"/>
    <w:rsid w:val="0AFF05E6"/>
    <w:rsid w:val="0B07538C"/>
    <w:rsid w:val="0B1A274D"/>
    <w:rsid w:val="0B254ED4"/>
    <w:rsid w:val="0B2E5D46"/>
    <w:rsid w:val="0B3A4E5B"/>
    <w:rsid w:val="0B536C32"/>
    <w:rsid w:val="0B5823AA"/>
    <w:rsid w:val="0B595FAD"/>
    <w:rsid w:val="0B827907"/>
    <w:rsid w:val="0B8C4C1A"/>
    <w:rsid w:val="0B9549DB"/>
    <w:rsid w:val="0B9D13EC"/>
    <w:rsid w:val="0BA07E46"/>
    <w:rsid w:val="0BC032D6"/>
    <w:rsid w:val="0BC10793"/>
    <w:rsid w:val="0BC9693D"/>
    <w:rsid w:val="0BDB1E35"/>
    <w:rsid w:val="0BDB6546"/>
    <w:rsid w:val="0BE71C83"/>
    <w:rsid w:val="0C195365"/>
    <w:rsid w:val="0C6F4E58"/>
    <w:rsid w:val="0C7B0B79"/>
    <w:rsid w:val="0C8C26F8"/>
    <w:rsid w:val="0CFB1DB9"/>
    <w:rsid w:val="0D220294"/>
    <w:rsid w:val="0D3A4A42"/>
    <w:rsid w:val="0D5368EF"/>
    <w:rsid w:val="0D5773D6"/>
    <w:rsid w:val="0D594DB6"/>
    <w:rsid w:val="0D632B1E"/>
    <w:rsid w:val="0D7D7848"/>
    <w:rsid w:val="0D8E173E"/>
    <w:rsid w:val="0DA10A04"/>
    <w:rsid w:val="0DF135BB"/>
    <w:rsid w:val="0DF13B47"/>
    <w:rsid w:val="0E0A5187"/>
    <w:rsid w:val="0E216ED3"/>
    <w:rsid w:val="0E332166"/>
    <w:rsid w:val="0E3917FF"/>
    <w:rsid w:val="0E613656"/>
    <w:rsid w:val="0E72787E"/>
    <w:rsid w:val="0E9F5739"/>
    <w:rsid w:val="0EC3008E"/>
    <w:rsid w:val="0EDB339F"/>
    <w:rsid w:val="0F125211"/>
    <w:rsid w:val="0F152A9D"/>
    <w:rsid w:val="0F1E7B0D"/>
    <w:rsid w:val="0F3506C4"/>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90BFD"/>
    <w:rsid w:val="100B59FA"/>
    <w:rsid w:val="10110CDB"/>
    <w:rsid w:val="10206D1E"/>
    <w:rsid w:val="103A3F9A"/>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B0A4C"/>
    <w:rsid w:val="11AF324A"/>
    <w:rsid w:val="12223275"/>
    <w:rsid w:val="1228310E"/>
    <w:rsid w:val="12325B1D"/>
    <w:rsid w:val="1244691E"/>
    <w:rsid w:val="1251591B"/>
    <w:rsid w:val="12610602"/>
    <w:rsid w:val="126B461E"/>
    <w:rsid w:val="127D72F2"/>
    <w:rsid w:val="12A908D3"/>
    <w:rsid w:val="12AA7F02"/>
    <w:rsid w:val="12DE33CA"/>
    <w:rsid w:val="12FF52DE"/>
    <w:rsid w:val="13344C16"/>
    <w:rsid w:val="1343505A"/>
    <w:rsid w:val="13544A6B"/>
    <w:rsid w:val="137A40BD"/>
    <w:rsid w:val="13910B1E"/>
    <w:rsid w:val="13910BD8"/>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E0AFC"/>
    <w:rsid w:val="14F44F2E"/>
    <w:rsid w:val="1515760A"/>
    <w:rsid w:val="15416178"/>
    <w:rsid w:val="1561603B"/>
    <w:rsid w:val="158F48E5"/>
    <w:rsid w:val="15C94A90"/>
    <w:rsid w:val="15D74588"/>
    <w:rsid w:val="15EB4378"/>
    <w:rsid w:val="160B185E"/>
    <w:rsid w:val="1628036C"/>
    <w:rsid w:val="1632014D"/>
    <w:rsid w:val="16435A3F"/>
    <w:rsid w:val="16704155"/>
    <w:rsid w:val="16796F0F"/>
    <w:rsid w:val="1688556A"/>
    <w:rsid w:val="16A00FDF"/>
    <w:rsid w:val="16A32AAC"/>
    <w:rsid w:val="16AF0615"/>
    <w:rsid w:val="16BD0B49"/>
    <w:rsid w:val="16D37A87"/>
    <w:rsid w:val="16D50CFC"/>
    <w:rsid w:val="16E33AB3"/>
    <w:rsid w:val="16EB76EF"/>
    <w:rsid w:val="171B0546"/>
    <w:rsid w:val="17304A49"/>
    <w:rsid w:val="173353C2"/>
    <w:rsid w:val="17680599"/>
    <w:rsid w:val="17874ED3"/>
    <w:rsid w:val="17886A2C"/>
    <w:rsid w:val="178F26E7"/>
    <w:rsid w:val="17966843"/>
    <w:rsid w:val="17A9660F"/>
    <w:rsid w:val="17BC0CF9"/>
    <w:rsid w:val="17D80F4C"/>
    <w:rsid w:val="17E14521"/>
    <w:rsid w:val="18002CEE"/>
    <w:rsid w:val="18117661"/>
    <w:rsid w:val="18523ADE"/>
    <w:rsid w:val="18526E2C"/>
    <w:rsid w:val="1866694B"/>
    <w:rsid w:val="186C1ACE"/>
    <w:rsid w:val="188C6C7D"/>
    <w:rsid w:val="188D202F"/>
    <w:rsid w:val="18960812"/>
    <w:rsid w:val="189C7EF6"/>
    <w:rsid w:val="18B04B4D"/>
    <w:rsid w:val="18CB264C"/>
    <w:rsid w:val="18E87E12"/>
    <w:rsid w:val="18F5052C"/>
    <w:rsid w:val="191D14D9"/>
    <w:rsid w:val="19693EEF"/>
    <w:rsid w:val="196B5F41"/>
    <w:rsid w:val="19CD605D"/>
    <w:rsid w:val="19D1732F"/>
    <w:rsid w:val="1A177449"/>
    <w:rsid w:val="1A200A74"/>
    <w:rsid w:val="1A2F2398"/>
    <w:rsid w:val="1A3055B8"/>
    <w:rsid w:val="1A5655AF"/>
    <w:rsid w:val="1A6B5CD7"/>
    <w:rsid w:val="1A9B675D"/>
    <w:rsid w:val="1ADE3E70"/>
    <w:rsid w:val="1AE42348"/>
    <w:rsid w:val="1AF2383D"/>
    <w:rsid w:val="1B157C1A"/>
    <w:rsid w:val="1B211C8A"/>
    <w:rsid w:val="1B325062"/>
    <w:rsid w:val="1B5734B2"/>
    <w:rsid w:val="1B99173F"/>
    <w:rsid w:val="1B9E5782"/>
    <w:rsid w:val="1B9F2F5B"/>
    <w:rsid w:val="1BA31D38"/>
    <w:rsid w:val="1BB15A38"/>
    <w:rsid w:val="1BB32D92"/>
    <w:rsid w:val="1BCA4E13"/>
    <w:rsid w:val="1BE75134"/>
    <w:rsid w:val="1BEB39AC"/>
    <w:rsid w:val="1C0103F1"/>
    <w:rsid w:val="1C3C5A93"/>
    <w:rsid w:val="1C3D2E04"/>
    <w:rsid w:val="1C3D5C01"/>
    <w:rsid w:val="1C4852DE"/>
    <w:rsid w:val="1C4D45E0"/>
    <w:rsid w:val="1C557329"/>
    <w:rsid w:val="1C69034E"/>
    <w:rsid w:val="1CB701AA"/>
    <w:rsid w:val="1CCA0F66"/>
    <w:rsid w:val="1CDE446D"/>
    <w:rsid w:val="1CE20210"/>
    <w:rsid w:val="1D3074C2"/>
    <w:rsid w:val="1D464FEE"/>
    <w:rsid w:val="1D644902"/>
    <w:rsid w:val="1D6538BE"/>
    <w:rsid w:val="1D8C2BA2"/>
    <w:rsid w:val="1D905228"/>
    <w:rsid w:val="1DCC2895"/>
    <w:rsid w:val="1DF24DA6"/>
    <w:rsid w:val="1DF43659"/>
    <w:rsid w:val="1DFC21EE"/>
    <w:rsid w:val="1E4473F8"/>
    <w:rsid w:val="1E490459"/>
    <w:rsid w:val="1E50751B"/>
    <w:rsid w:val="1E545B82"/>
    <w:rsid w:val="1E6D1C74"/>
    <w:rsid w:val="1E736E4E"/>
    <w:rsid w:val="1E7E5EB1"/>
    <w:rsid w:val="1EA61B83"/>
    <w:rsid w:val="1EA82227"/>
    <w:rsid w:val="1EAD188D"/>
    <w:rsid w:val="1EF23920"/>
    <w:rsid w:val="1F20664A"/>
    <w:rsid w:val="1F234826"/>
    <w:rsid w:val="1F4773C4"/>
    <w:rsid w:val="1F5D7AE0"/>
    <w:rsid w:val="1F5E0D38"/>
    <w:rsid w:val="1F5F4414"/>
    <w:rsid w:val="1F7468AC"/>
    <w:rsid w:val="1F7D1511"/>
    <w:rsid w:val="1F826970"/>
    <w:rsid w:val="1F972A67"/>
    <w:rsid w:val="1FA317AB"/>
    <w:rsid w:val="1FCB673D"/>
    <w:rsid w:val="1FEE648E"/>
    <w:rsid w:val="1FF433BA"/>
    <w:rsid w:val="1FF9202F"/>
    <w:rsid w:val="1FF97D4C"/>
    <w:rsid w:val="20003026"/>
    <w:rsid w:val="200F3B23"/>
    <w:rsid w:val="201967D7"/>
    <w:rsid w:val="20374786"/>
    <w:rsid w:val="2039386F"/>
    <w:rsid w:val="20601C10"/>
    <w:rsid w:val="20757C7B"/>
    <w:rsid w:val="20A0087D"/>
    <w:rsid w:val="20A13861"/>
    <w:rsid w:val="20BB0C31"/>
    <w:rsid w:val="20CF37FC"/>
    <w:rsid w:val="20D717F3"/>
    <w:rsid w:val="20F12135"/>
    <w:rsid w:val="20F90AAC"/>
    <w:rsid w:val="20FA405B"/>
    <w:rsid w:val="212B616E"/>
    <w:rsid w:val="213121BA"/>
    <w:rsid w:val="214A2960"/>
    <w:rsid w:val="215302B9"/>
    <w:rsid w:val="217E539E"/>
    <w:rsid w:val="218E4A09"/>
    <w:rsid w:val="218E6399"/>
    <w:rsid w:val="21DF3292"/>
    <w:rsid w:val="2229623B"/>
    <w:rsid w:val="22477192"/>
    <w:rsid w:val="224C2951"/>
    <w:rsid w:val="225C6779"/>
    <w:rsid w:val="227A54E3"/>
    <w:rsid w:val="22865CFC"/>
    <w:rsid w:val="22BD3256"/>
    <w:rsid w:val="22D07449"/>
    <w:rsid w:val="230B248C"/>
    <w:rsid w:val="231E3ED2"/>
    <w:rsid w:val="234421C7"/>
    <w:rsid w:val="23537C14"/>
    <w:rsid w:val="23700EEA"/>
    <w:rsid w:val="238C42D2"/>
    <w:rsid w:val="2393048F"/>
    <w:rsid w:val="239E3C8F"/>
    <w:rsid w:val="23A06B4E"/>
    <w:rsid w:val="23A40CCF"/>
    <w:rsid w:val="24351B4F"/>
    <w:rsid w:val="24576A62"/>
    <w:rsid w:val="246E76BE"/>
    <w:rsid w:val="24762507"/>
    <w:rsid w:val="24763811"/>
    <w:rsid w:val="24863B93"/>
    <w:rsid w:val="24B346B5"/>
    <w:rsid w:val="24B606B7"/>
    <w:rsid w:val="24EC3BCA"/>
    <w:rsid w:val="24EF6448"/>
    <w:rsid w:val="24F71B8F"/>
    <w:rsid w:val="24F92CDE"/>
    <w:rsid w:val="250C0B5D"/>
    <w:rsid w:val="25323728"/>
    <w:rsid w:val="25335BFF"/>
    <w:rsid w:val="253D4E51"/>
    <w:rsid w:val="25462DA6"/>
    <w:rsid w:val="254F53BC"/>
    <w:rsid w:val="25893EFE"/>
    <w:rsid w:val="259F22C8"/>
    <w:rsid w:val="25BE6749"/>
    <w:rsid w:val="25DE0185"/>
    <w:rsid w:val="25E04003"/>
    <w:rsid w:val="25EE6875"/>
    <w:rsid w:val="260C334C"/>
    <w:rsid w:val="26276BC7"/>
    <w:rsid w:val="26335573"/>
    <w:rsid w:val="26412189"/>
    <w:rsid w:val="26517452"/>
    <w:rsid w:val="26566E1C"/>
    <w:rsid w:val="26A10A64"/>
    <w:rsid w:val="26A24282"/>
    <w:rsid w:val="26BB6790"/>
    <w:rsid w:val="26C84C3F"/>
    <w:rsid w:val="26CA39FA"/>
    <w:rsid w:val="26D12157"/>
    <w:rsid w:val="26DB2072"/>
    <w:rsid w:val="270F1235"/>
    <w:rsid w:val="271D238B"/>
    <w:rsid w:val="27321E3A"/>
    <w:rsid w:val="273460AC"/>
    <w:rsid w:val="2737495D"/>
    <w:rsid w:val="27862FAB"/>
    <w:rsid w:val="278F67DD"/>
    <w:rsid w:val="27903F65"/>
    <w:rsid w:val="27A0148D"/>
    <w:rsid w:val="27B778B7"/>
    <w:rsid w:val="27CE4805"/>
    <w:rsid w:val="27DC01C9"/>
    <w:rsid w:val="27EA6D62"/>
    <w:rsid w:val="28300784"/>
    <w:rsid w:val="28630E79"/>
    <w:rsid w:val="287D0248"/>
    <w:rsid w:val="289E6725"/>
    <w:rsid w:val="29057EC1"/>
    <w:rsid w:val="290B0C78"/>
    <w:rsid w:val="290E28AF"/>
    <w:rsid w:val="292011C8"/>
    <w:rsid w:val="293757A5"/>
    <w:rsid w:val="293D0E03"/>
    <w:rsid w:val="293F5958"/>
    <w:rsid w:val="294A094A"/>
    <w:rsid w:val="29806F72"/>
    <w:rsid w:val="29C52E87"/>
    <w:rsid w:val="29D41D29"/>
    <w:rsid w:val="29D9317B"/>
    <w:rsid w:val="29F04EAF"/>
    <w:rsid w:val="29F116D0"/>
    <w:rsid w:val="2A0241CA"/>
    <w:rsid w:val="2A0777DB"/>
    <w:rsid w:val="2A1E7E82"/>
    <w:rsid w:val="2A7D5C08"/>
    <w:rsid w:val="2A81626E"/>
    <w:rsid w:val="2AA47786"/>
    <w:rsid w:val="2AAA19F3"/>
    <w:rsid w:val="2AAD65EE"/>
    <w:rsid w:val="2AC77380"/>
    <w:rsid w:val="2ADD6AFD"/>
    <w:rsid w:val="2ADE6550"/>
    <w:rsid w:val="2ADF3CF7"/>
    <w:rsid w:val="2AFE0D9C"/>
    <w:rsid w:val="2B2E0309"/>
    <w:rsid w:val="2B422946"/>
    <w:rsid w:val="2B5B34DC"/>
    <w:rsid w:val="2B76579E"/>
    <w:rsid w:val="2B831E93"/>
    <w:rsid w:val="2BA57D96"/>
    <w:rsid w:val="2BAE29A1"/>
    <w:rsid w:val="2BBE438D"/>
    <w:rsid w:val="2BE373EE"/>
    <w:rsid w:val="2C295EB9"/>
    <w:rsid w:val="2C35729B"/>
    <w:rsid w:val="2C372A26"/>
    <w:rsid w:val="2C4628DA"/>
    <w:rsid w:val="2C622710"/>
    <w:rsid w:val="2C7A1A31"/>
    <w:rsid w:val="2C7C7D79"/>
    <w:rsid w:val="2C9466E2"/>
    <w:rsid w:val="2CAF6B04"/>
    <w:rsid w:val="2CB0279E"/>
    <w:rsid w:val="2CD12AE5"/>
    <w:rsid w:val="2D075FD9"/>
    <w:rsid w:val="2D3A323B"/>
    <w:rsid w:val="2D4B55E5"/>
    <w:rsid w:val="2D53589F"/>
    <w:rsid w:val="2D7646A7"/>
    <w:rsid w:val="2DB057E9"/>
    <w:rsid w:val="2DC23181"/>
    <w:rsid w:val="2DD120CE"/>
    <w:rsid w:val="2DDA7850"/>
    <w:rsid w:val="2DDC0104"/>
    <w:rsid w:val="2DE379BB"/>
    <w:rsid w:val="2E0177B9"/>
    <w:rsid w:val="2E034F95"/>
    <w:rsid w:val="2E1D2BF2"/>
    <w:rsid w:val="2E233EF6"/>
    <w:rsid w:val="2E3B2A47"/>
    <w:rsid w:val="2E6003A4"/>
    <w:rsid w:val="2E69729D"/>
    <w:rsid w:val="2E8543E2"/>
    <w:rsid w:val="2E9503D9"/>
    <w:rsid w:val="2E9B575E"/>
    <w:rsid w:val="2EAC5972"/>
    <w:rsid w:val="2EB809B1"/>
    <w:rsid w:val="2EB81831"/>
    <w:rsid w:val="2ECF7A85"/>
    <w:rsid w:val="2EE054B3"/>
    <w:rsid w:val="2F2B5ABF"/>
    <w:rsid w:val="2F2E604D"/>
    <w:rsid w:val="2F417886"/>
    <w:rsid w:val="2F882E85"/>
    <w:rsid w:val="2F9A7F4A"/>
    <w:rsid w:val="2FA95A58"/>
    <w:rsid w:val="2FC733B8"/>
    <w:rsid w:val="2FCA4F20"/>
    <w:rsid w:val="300C4C70"/>
    <w:rsid w:val="3021132B"/>
    <w:rsid w:val="303371BB"/>
    <w:rsid w:val="3044399D"/>
    <w:rsid w:val="305868C6"/>
    <w:rsid w:val="306445C1"/>
    <w:rsid w:val="306F3DBA"/>
    <w:rsid w:val="30896C6B"/>
    <w:rsid w:val="30B146BD"/>
    <w:rsid w:val="30D0377D"/>
    <w:rsid w:val="30D2261F"/>
    <w:rsid w:val="30DE0226"/>
    <w:rsid w:val="31007D5E"/>
    <w:rsid w:val="31115223"/>
    <w:rsid w:val="31263645"/>
    <w:rsid w:val="31445B9B"/>
    <w:rsid w:val="31451BB1"/>
    <w:rsid w:val="316B13D5"/>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B30C9D"/>
    <w:rsid w:val="32CA65F9"/>
    <w:rsid w:val="33054854"/>
    <w:rsid w:val="33064DC6"/>
    <w:rsid w:val="330A16FB"/>
    <w:rsid w:val="33141FF7"/>
    <w:rsid w:val="333D4ABC"/>
    <w:rsid w:val="33482976"/>
    <w:rsid w:val="33506C9F"/>
    <w:rsid w:val="33775E05"/>
    <w:rsid w:val="338574F9"/>
    <w:rsid w:val="33A078AB"/>
    <w:rsid w:val="33A222F8"/>
    <w:rsid w:val="33B85C62"/>
    <w:rsid w:val="33C3614F"/>
    <w:rsid w:val="33D62B96"/>
    <w:rsid w:val="33E32DB1"/>
    <w:rsid w:val="34122D95"/>
    <w:rsid w:val="342D74A7"/>
    <w:rsid w:val="344127C5"/>
    <w:rsid w:val="34526E6E"/>
    <w:rsid w:val="345B1895"/>
    <w:rsid w:val="3485590E"/>
    <w:rsid w:val="34946C2E"/>
    <w:rsid w:val="34A24AD6"/>
    <w:rsid w:val="34C04708"/>
    <w:rsid w:val="34D46D17"/>
    <w:rsid w:val="34FD5844"/>
    <w:rsid w:val="35280DED"/>
    <w:rsid w:val="35463167"/>
    <w:rsid w:val="35665ADB"/>
    <w:rsid w:val="35672758"/>
    <w:rsid w:val="35816EB9"/>
    <w:rsid w:val="35821E3D"/>
    <w:rsid w:val="359F5261"/>
    <w:rsid w:val="35C2434B"/>
    <w:rsid w:val="35FE7215"/>
    <w:rsid w:val="35FF2DF2"/>
    <w:rsid w:val="36000F59"/>
    <w:rsid w:val="360B232F"/>
    <w:rsid w:val="361376EE"/>
    <w:rsid w:val="36247CCA"/>
    <w:rsid w:val="36280FB0"/>
    <w:rsid w:val="36400759"/>
    <w:rsid w:val="364225B8"/>
    <w:rsid w:val="367B06EC"/>
    <w:rsid w:val="36AF0D32"/>
    <w:rsid w:val="36ED465C"/>
    <w:rsid w:val="370058B6"/>
    <w:rsid w:val="37066B46"/>
    <w:rsid w:val="371119CF"/>
    <w:rsid w:val="371D55A0"/>
    <w:rsid w:val="374933F8"/>
    <w:rsid w:val="37556EFB"/>
    <w:rsid w:val="37634C0D"/>
    <w:rsid w:val="37635AA2"/>
    <w:rsid w:val="376D038A"/>
    <w:rsid w:val="378D4EC4"/>
    <w:rsid w:val="37B01FC8"/>
    <w:rsid w:val="37F7211A"/>
    <w:rsid w:val="37FD2BB1"/>
    <w:rsid w:val="381D63E4"/>
    <w:rsid w:val="38354D81"/>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36ABD"/>
    <w:rsid w:val="3AAC76F2"/>
    <w:rsid w:val="3AD8079E"/>
    <w:rsid w:val="3AEB6F13"/>
    <w:rsid w:val="3AF05E33"/>
    <w:rsid w:val="3AF1344F"/>
    <w:rsid w:val="3B1C5B19"/>
    <w:rsid w:val="3B362C4D"/>
    <w:rsid w:val="3B942B73"/>
    <w:rsid w:val="3B9674D7"/>
    <w:rsid w:val="3BA20424"/>
    <w:rsid w:val="3BB335AC"/>
    <w:rsid w:val="3BD3067E"/>
    <w:rsid w:val="3BD53AB5"/>
    <w:rsid w:val="3BEF40B2"/>
    <w:rsid w:val="3BFF61D4"/>
    <w:rsid w:val="3C0104C3"/>
    <w:rsid w:val="3C170C7E"/>
    <w:rsid w:val="3C200106"/>
    <w:rsid w:val="3C262C87"/>
    <w:rsid w:val="3C3C39A0"/>
    <w:rsid w:val="3C5A7EF6"/>
    <w:rsid w:val="3C804923"/>
    <w:rsid w:val="3C9D3765"/>
    <w:rsid w:val="3C9E0FAA"/>
    <w:rsid w:val="3CA30947"/>
    <w:rsid w:val="3CB85542"/>
    <w:rsid w:val="3CC000F8"/>
    <w:rsid w:val="3CCD2C35"/>
    <w:rsid w:val="3D277613"/>
    <w:rsid w:val="3D3C5369"/>
    <w:rsid w:val="3D66205D"/>
    <w:rsid w:val="3D6D5EA9"/>
    <w:rsid w:val="3DA54021"/>
    <w:rsid w:val="3DD171A7"/>
    <w:rsid w:val="3DDA3D62"/>
    <w:rsid w:val="3DDC1724"/>
    <w:rsid w:val="3DEC1B94"/>
    <w:rsid w:val="3DFF41E9"/>
    <w:rsid w:val="3E127B19"/>
    <w:rsid w:val="3E2653DC"/>
    <w:rsid w:val="3E2B50D7"/>
    <w:rsid w:val="3E327F30"/>
    <w:rsid w:val="3E4754A6"/>
    <w:rsid w:val="3E6F211E"/>
    <w:rsid w:val="3E786B14"/>
    <w:rsid w:val="3E860F10"/>
    <w:rsid w:val="3E913ADC"/>
    <w:rsid w:val="3E914243"/>
    <w:rsid w:val="3E922B85"/>
    <w:rsid w:val="3E922D59"/>
    <w:rsid w:val="3EA3700C"/>
    <w:rsid w:val="3EB02205"/>
    <w:rsid w:val="3EB47903"/>
    <w:rsid w:val="3ED7637C"/>
    <w:rsid w:val="3EDD7C11"/>
    <w:rsid w:val="3EDF0CF3"/>
    <w:rsid w:val="3EE8557E"/>
    <w:rsid w:val="3EEB6572"/>
    <w:rsid w:val="3EED740D"/>
    <w:rsid w:val="3F2F6BD0"/>
    <w:rsid w:val="3F3330FC"/>
    <w:rsid w:val="3F397D57"/>
    <w:rsid w:val="3F4E48BC"/>
    <w:rsid w:val="3F4F338A"/>
    <w:rsid w:val="3F4F56AB"/>
    <w:rsid w:val="3F56191C"/>
    <w:rsid w:val="3F5C510C"/>
    <w:rsid w:val="3F652B34"/>
    <w:rsid w:val="3F9529AF"/>
    <w:rsid w:val="3FB1447F"/>
    <w:rsid w:val="3FC35AFC"/>
    <w:rsid w:val="3FD1414D"/>
    <w:rsid w:val="3FD81218"/>
    <w:rsid w:val="3FDB2D1E"/>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CD671B"/>
    <w:rsid w:val="41DF5CBF"/>
    <w:rsid w:val="420D7FE6"/>
    <w:rsid w:val="42226713"/>
    <w:rsid w:val="422B2BA1"/>
    <w:rsid w:val="4231785A"/>
    <w:rsid w:val="42584818"/>
    <w:rsid w:val="427E48C1"/>
    <w:rsid w:val="42926048"/>
    <w:rsid w:val="429B6E22"/>
    <w:rsid w:val="42C845D8"/>
    <w:rsid w:val="43262E27"/>
    <w:rsid w:val="434841F7"/>
    <w:rsid w:val="434D6B99"/>
    <w:rsid w:val="437F792B"/>
    <w:rsid w:val="43BE214E"/>
    <w:rsid w:val="43ED298C"/>
    <w:rsid w:val="43EF2991"/>
    <w:rsid w:val="43F4696E"/>
    <w:rsid w:val="44597BEE"/>
    <w:rsid w:val="447A4753"/>
    <w:rsid w:val="449D023F"/>
    <w:rsid w:val="44A427AA"/>
    <w:rsid w:val="44DD300E"/>
    <w:rsid w:val="44E2656D"/>
    <w:rsid w:val="44F11452"/>
    <w:rsid w:val="44FA6383"/>
    <w:rsid w:val="45177BA4"/>
    <w:rsid w:val="451C551F"/>
    <w:rsid w:val="451F3CCA"/>
    <w:rsid w:val="45341196"/>
    <w:rsid w:val="454815E6"/>
    <w:rsid w:val="45493A4F"/>
    <w:rsid w:val="454E4188"/>
    <w:rsid w:val="455A3DF2"/>
    <w:rsid w:val="45727755"/>
    <w:rsid w:val="457917C1"/>
    <w:rsid w:val="45BA5028"/>
    <w:rsid w:val="45CA6C10"/>
    <w:rsid w:val="45D01294"/>
    <w:rsid w:val="45E03532"/>
    <w:rsid w:val="45F36896"/>
    <w:rsid w:val="462D5957"/>
    <w:rsid w:val="465346A2"/>
    <w:rsid w:val="46586687"/>
    <w:rsid w:val="466309D9"/>
    <w:rsid w:val="466A2150"/>
    <w:rsid w:val="466D3B0A"/>
    <w:rsid w:val="46844FFB"/>
    <w:rsid w:val="46864313"/>
    <w:rsid w:val="468C15DE"/>
    <w:rsid w:val="468F344C"/>
    <w:rsid w:val="46CE17A4"/>
    <w:rsid w:val="46D81406"/>
    <w:rsid w:val="472C0BD0"/>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81DF5"/>
    <w:rsid w:val="484B7369"/>
    <w:rsid w:val="48811612"/>
    <w:rsid w:val="488818E0"/>
    <w:rsid w:val="48AE01B7"/>
    <w:rsid w:val="48CB69F5"/>
    <w:rsid w:val="48E06989"/>
    <w:rsid w:val="48E92C88"/>
    <w:rsid w:val="48EB1D85"/>
    <w:rsid w:val="4912133B"/>
    <w:rsid w:val="494C141C"/>
    <w:rsid w:val="4987544D"/>
    <w:rsid w:val="49AE3D92"/>
    <w:rsid w:val="49C55CAD"/>
    <w:rsid w:val="49CA225D"/>
    <w:rsid w:val="4A1203E3"/>
    <w:rsid w:val="4A3C31F7"/>
    <w:rsid w:val="4A775569"/>
    <w:rsid w:val="4A863FBD"/>
    <w:rsid w:val="4AA927DF"/>
    <w:rsid w:val="4ABD2CBE"/>
    <w:rsid w:val="4ACA49FA"/>
    <w:rsid w:val="4AE8469B"/>
    <w:rsid w:val="4AED30D2"/>
    <w:rsid w:val="4AF05435"/>
    <w:rsid w:val="4AFE1C1B"/>
    <w:rsid w:val="4B503DE9"/>
    <w:rsid w:val="4B592E57"/>
    <w:rsid w:val="4B731311"/>
    <w:rsid w:val="4B8D4BE4"/>
    <w:rsid w:val="4B9A2375"/>
    <w:rsid w:val="4C036229"/>
    <w:rsid w:val="4C1F7A5B"/>
    <w:rsid w:val="4C9A033A"/>
    <w:rsid w:val="4C9A5F96"/>
    <w:rsid w:val="4C9B7DE3"/>
    <w:rsid w:val="4C9C02EA"/>
    <w:rsid w:val="4CA178A3"/>
    <w:rsid w:val="4CB3138C"/>
    <w:rsid w:val="4CB373C1"/>
    <w:rsid w:val="4CBE1543"/>
    <w:rsid w:val="4CBE4760"/>
    <w:rsid w:val="4CCC2062"/>
    <w:rsid w:val="4CF86DA4"/>
    <w:rsid w:val="4D020DA5"/>
    <w:rsid w:val="4D0D52CB"/>
    <w:rsid w:val="4D566C49"/>
    <w:rsid w:val="4D6037A5"/>
    <w:rsid w:val="4D743AA4"/>
    <w:rsid w:val="4D993267"/>
    <w:rsid w:val="4DA1355F"/>
    <w:rsid w:val="4DA537BB"/>
    <w:rsid w:val="4DF67531"/>
    <w:rsid w:val="4DF9062B"/>
    <w:rsid w:val="4DFE5BF3"/>
    <w:rsid w:val="4E014EF8"/>
    <w:rsid w:val="4E066E93"/>
    <w:rsid w:val="4E1D7E77"/>
    <w:rsid w:val="4E236A05"/>
    <w:rsid w:val="4E51451A"/>
    <w:rsid w:val="4E8E5E96"/>
    <w:rsid w:val="4EF614BA"/>
    <w:rsid w:val="4EF62402"/>
    <w:rsid w:val="4EF85882"/>
    <w:rsid w:val="4F35630A"/>
    <w:rsid w:val="4F362E18"/>
    <w:rsid w:val="4F540B41"/>
    <w:rsid w:val="4F547EAA"/>
    <w:rsid w:val="4F832885"/>
    <w:rsid w:val="4F9039FE"/>
    <w:rsid w:val="4FC70992"/>
    <w:rsid w:val="4FE24AA2"/>
    <w:rsid w:val="50437224"/>
    <w:rsid w:val="50490678"/>
    <w:rsid w:val="505A512C"/>
    <w:rsid w:val="5098572F"/>
    <w:rsid w:val="50C5574D"/>
    <w:rsid w:val="50F018D3"/>
    <w:rsid w:val="50F47A17"/>
    <w:rsid w:val="511168C6"/>
    <w:rsid w:val="513D38A6"/>
    <w:rsid w:val="51456AF4"/>
    <w:rsid w:val="51543430"/>
    <w:rsid w:val="515C1DCC"/>
    <w:rsid w:val="5176068C"/>
    <w:rsid w:val="51790E28"/>
    <w:rsid w:val="519B6609"/>
    <w:rsid w:val="51B858B2"/>
    <w:rsid w:val="51BE6CEC"/>
    <w:rsid w:val="51C26588"/>
    <w:rsid w:val="51DE4114"/>
    <w:rsid w:val="51F45C0D"/>
    <w:rsid w:val="51F45EC8"/>
    <w:rsid w:val="51FE2E2D"/>
    <w:rsid w:val="520F2ED4"/>
    <w:rsid w:val="521402BD"/>
    <w:rsid w:val="522B39FB"/>
    <w:rsid w:val="52414E5C"/>
    <w:rsid w:val="52463FBA"/>
    <w:rsid w:val="524A5D65"/>
    <w:rsid w:val="524C1BBF"/>
    <w:rsid w:val="524F4D3D"/>
    <w:rsid w:val="526702D4"/>
    <w:rsid w:val="529526FC"/>
    <w:rsid w:val="52A17AC6"/>
    <w:rsid w:val="52C04D72"/>
    <w:rsid w:val="52CA35B0"/>
    <w:rsid w:val="52DD15C5"/>
    <w:rsid w:val="52F63B4F"/>
    <w:rsid w:val="53082F2C"/>
    <w:rsid w:val="53131C59"/>
    <w:rsid w:val="53345BA9"/>
    <w:rsid w:val="53396085"/>
    <w:rsid w:val="53670639"/>
    <w:rsid w:val="53826F0F"/>
    <w:rsid w:val="53B84C8E"/>
    <w:rsid w:val="53BA78BF"/>
    <w:rsid w:val="53F52A77"/>
    <w:rsid w:val="53FD5774"/>
    <w:rsid w:val="5414272D"/>
    <w:rsid w:val="54871B54"/>
    <w:rsid w:val="549F3EDE"/>
    <w:rsid w:val="54AA3CD9"/>
    <w:rsid w:val="54B76615"/>
    <w:rsid w:val="54C72278"/>
    <w:rsid w:val="54CF4007"/>
    <w:rsid w:val="54EA3219"/>
    <w:rsid w:val="550118A5"/>
    <w:rsid w:val="55703086"/>
    <w:rsid w:val="557A16A0"/>
    <w:rsid w:val="559A22C4"/>
    <w:rsid w:val="559F228F"/>
    <w:rsid w:val="55B54251"/>
    <w:rsid w:val="55E8090D"/>
    <w:rsid w:val="562A1609"/>
    <w:rsid w:val="563F74A4"/>
    <w:rsid w:val="566B53D2"/>
    <w:rsid w:val="567B1141"/>
    <w:rsid w:val="569A3398"/>
    <w:rsid w:val="56AD7471"/>
    <w:rsid w:val="56EB3361"/>
    <w:rsid w:val="56F40954"/>
    <w:rsid w:val="56F72F30"/>
    <w:rsid w:val="570D256E"/>
    <w:rsid w:val="57301450"/>
    <w:rsid w:val="5753468B"/>
    <w:rsid w:val="575B3101"/>
    <w:rsid w:val="5760479D"/>
    <w:rsid w:val="576D43D6"/>
    <w:rsid w:val="5779650A"/>
    <w:rsid w:val="57BA33E6"/>
    <w:rsid w:val="57F25C54"/>
    <w:rsid w:val="58037259"/>
    <w:rsid w:val="580B1E0B"/>
    <w:rsid w:val="58164A86"/>
    <w:rsid w:val="58603614"/>
    <w:rsid w:val="58615E6E"/>
    <w:rsid w:val="58635793"/>
    <w:rsid w:val="58867580"/>
    <w:rsid w:val="588C11D6"/>
    <w:rsid w:val="58EF47AD"/>
    <w:rsid w:val="59033141"/>
    <w:rsid w:val="59477195"/>
    <w:rsid w:val="59491402"/>
    <w:rsid w:val="594F459C"/>
    <w:rsid w:val="595C25C6"/>
    <w:rsid w:val="595F13E9"/>
    <w:rsid w:val="596E5E36"/>
    <w:rsid w:val="59785D4E"/>
    <w:rsid w:val="597E2527"/>
    <w:rsid w:val="599D32C2"/>
    <w:rsid w:val="59A84CD5"/>
    <w:rsid w:val="59CA0DF6"/>
    <w:rsid w:val="59D05539"/>
    <w:rsid w:val="59E12D2E"/>
    <w:rsid w:val="59E56E97"/>
    <w:rsid w:val="59EE0B0E"/>
    <w:rsid w:val="5A1B27B8"/>
    <w:rsid w:val="5A4070A1"/>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BEC6F6E"/>
    <w:rsid w:val="5C100E26"/>
    <w:rsid w:val="5C4C3CC9"/>
    <w:rsid w:val="5C527319"/>
    <w:rsid w:val="5C5C59BB"/>
    <w:rsid w:val="5C6A1E8C"/>
    <w:rsid w:val="5C6F3AA2"/>
    <w:rsid w:val="5C85298F"/>
    <w:rsid w:val="5CDC5778"/>
    <w:rsid w:val="5CE70DB3"/>
    <w:rsid w:val="5CF20C05"/>
    <w:rsid w:val="5CF617C9"/>
    <w:rsid w:val="5D047EE8"/>
    <w:rsid w:val="5D126228"/>
    <w:rsid w:val="5D1949C1"/>
    <w:rsid w:val="5D1F3C0E"/>
    <w:rsid w:val="5D2F30A0"/>
    <w:rsid w:val="5D3A42DC"/>
    <w:rsid w:val="5DA70D78"/>
    <w:rsid w:val="5DCE1586"/>
    <w:rsid w:val="5DCE771F"/>
    <w:rsid w:val="5DD3556C"/>
    <w:rsid w:val="5DE6704B"/>
    <w:rsid w:val="5DEC3B70"/>
    <w:rsid w:val="5DF84369"/>
    <w:rsid w:val="5DF92DCB"/>
    <w:rsid w:val="5E0244A2"/>
    <w:rsid w:val="5E091FB5"/>
    <w:rsid w:val="5E280CB5"/>
    <w:rsid w:val="5E447267"/>
    <w:rsid w:val="5E4A572D"/>
    <w:rsid w:val="5E552F43"/>
    <w:rsid w:val="5E5667A6"/>
    <w:rsid w:val="5E676802"/>
    <w:rsid w:val="5E6C7C78"/>
    <w:rsid w:val="5E72699B"/>
    <w:rsid w:val="5E815CED"/>
    <w:rsid w:val="5E887A26"/>
    <w:rsid w:val="5EC56393"/>
    <w:rsid w:val="5EE84D05"/>
    <w:rsid w:val="5EF078DD"/>
    <w:rsid w:val="5EFE34A1"/>
    <w:rsid w:val="5F173FD8"/>
    <w:rsid w:val="5F6E2815"/>
    <w:rsid w:val="5F78194C"/>
    <w:rsid w:val="5F7C06D8"/>
    <w:rsid w:val="5FC00E55"/>
    <w:rsid w:val="5FD9462B"/>
    <w:rsid w:val="5FFB6305"/>
    <w:rsid w:val="60011320"/>
    <w:rsid w:val="6057025C"/>
    <w:rsid w:val="606F133D"/>
    <w:rsid w:val="60916901"/>
    <w:rsid w:val="60993336"/>
    <w:rsid w:val="60A27DAC"/>
    <w:rsid w:val="60B91733"/>
    <w:rsid w:val="610B115D"/>
    <w:rsid w:val="612650A2"/>
    <w:rsid w:val="61275225"/>
    <w:rsid w:val="614041D7"/>
    <w:rsid w:val="615218CE"/>
    <w:rsid w:val="616C655B"/>
    <w:rsid w:val="616E381D"/>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2C2662"/>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9C30B3"/>
    <w:rsid w:val="66D60DB1"/>
    <w:rsid w:val="66E27DE8"/>
    <w:rsid w:val="66E561D8"/>
    <w:rsid w:val="66F00AF0"/>
    <w:rsid w:val="6700750E"/>
    <w:rsid w:val="672D6458"/>
    <w:rsid w:val="67302DC7"/>
    <w:rsid w:val="67580868"/>
    <w:rsid w:val="67610EFA"/>
    <w:rsid w:val="678D4AE5"/>
    <w:rsid w:val="678D5B85"/>
    <w:rsid w:val="67995A29"/>
    <w:rsid w:val="67DC482A"/>
    <w:rsid w:val="67E55620"/>
    <w:rsid w:val="67EA5494"/>
    <w:rsid w:val="67ED1ADF"/>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C41DE"/>
    <w:rsid w:val="68EF5946"/>
    <w:rsid w:val="68FF6567"/>
    <w:rsid w:val="69240115"/>
    <w:rsid w:val="693118AD"/>
    <w:rsid w:val="69600F34"/>
    <w:rsid w:val="69603C4B"/>
    <w:rsid w:val="69614422"/>
    <w:rsid w:val="69683F1C"/>
    <w:rsid w:val="69930E11"/>
    <w:rsid w:val="699C0EF8"/>
    <w:rsid w:val="69AB5DBB"/>
    <w:rsid w:val="69B840F1"/>
    <w:rsid w:val="69C70A94"/>
    <w:rsid w:val="69C91948"/>
    <w:rsid w:val="69FA7461"/>
    <w:rsid w:val="6A2826A1"/>
    <w:rsid w:val="6A4F016E"/>
    <w:rsid w:val="6A551347"/>
    <w:rsid w:val="6A5660EE"/>
    <w:rsid w:val="6A5D1911"/>
    <w:rsid w:val="6A76653B"/>
    <w:rsid w:val="6A9F3407"/>
    <w:rsid w:val="6AA45AEE"/>
    <w:rsid w:val="6AAA05A9"/>
    <w:rsid w:val="6AE60B4C"/>
    <w:rsid w:val="6B007B1A"/>
    <w:rsid w:val="6B3529D0"/>
    <w:rsid w:val="6B3C6A10"/>
    <w:rsid w:val="6B5B3158"/>
    <w:rsid w:val="6B726A7C"/>
    <w:rsid w:val="6B8902B7"/>
    <w:rsid w:val="6BBA5C26"/>
    <w:rsid w:val="6BC644EC"/>
    <w:rsid w:val="6BE963BE"/>
    <w:rsid w:val="6C0F365E"/>
    <w:rsid w:val="6C2E2CA9"/>
    <w:rsid w:val="6C3E3641"/>
    <w:rsid w:val="6C740601"/>
    <w:rsid w:val="6CD31D46"/>
    <w:rsid w:val="6CD85C69"/>
    <w:rsid w:val="6CF02A87"/>
    <w:rsid w:val="6D464DCC"/>
    <w:rsid w:val="6D616216"/>
    <w:rsid w:val="6D932C97"/>
    <w:rsid w:val="6DA225C5"/>
    <w:rsid w:val="6DB630F7"/>
    <w:rsid w:val="6E04099A"/>
    <w:rsid w:val="6E042B6E"/>
    <w:rsid w:val="6E073AA1"/>
    <w:rsid w:val="6E0E61FC"/>
    <w:rsid w:val="6E3101C1"/>
    <w:rsid w:val="6E451A64"/>
    <w:rsid w:val="6E67698D"/>
    <w:rsid w:val="6E6839F7"/>
    <w:rsid w:val="6E733F82"/>
    <w:rsid w:val="6E874489"/>
    <w:rsid w:val="6EA0744D"/>
    <w:rsid w:val="6EA3291D"/>
    <w:rsid w:val="6EA67504"/>
    <w:rsid w:val="6ED35563"/>
    <w:rsid w:val="6EDD75A0"/>
    <w:rsid w:val="6F0D2298"/>
    <w:rsid w:val="6F37324B"/>
    <w:rsid w:val="6F4B77AB"/>
    <w:rsid w:val="6F5A407F"/>
    <w:rsid w:val="6F9045BD"/>
    <w:rsid w:val="6F991282"/>
    <w:rsid w:val="6FAD4095"/>
    <w:rsid w:val="6FD071A2"/>
    <w:rsid w:val="6FD57D31"/>
    <w:rsid w:val="6FD969D9"/>
    <w:rsid w:val="6FDF42CC"/>
    <w:rsid w:val="6FEB409E"/>
    <w:rsid w:val="700A32D4"/>
    <w:rsid w:val="70145373"/>
    <w:rsid w:val="70512274"/>
    <w:rsid w:val="7071512F"/>
    <w:rsid w:val="70836044"/>
    <w:rsid w:val="70963635"/>
    <w:rsid w:val="709E757C"/>
    <w:rsid w:val="70AB6982"/>
    <w:rsid w:val="70B960E4"/>
    <w:rsid w:val="70CE2945"/>
    <w:rsid w:val="710003A8"/>
    <w:rsid w:val="710F0BB8"/>
    <w:rsid w:val="71194261"/>
    <w:rsid w:val="711C5BB5"/>
    <w:rsid w:val="713F6DE5"/>
    <w:rsid w:val="7144689C"/>
    <w:rsid w:val="715C773D"/>
    <w:rsid w:val="717E5F2F"/>
    <w:rsid w:val="71885178"/>
    <w:rsid w:val="718B15C7"/>
    <w:rsid w:val="71B2274D"/>
    <w:rsid w:val="71BF4E45"/>
    <w:rsid w:val="71C20258"/>
    <w:rsid w:val="71CC6C4D"/>
    <w:rsid w:val="71CC7EBE"/>
    <w:rsid w:val="71D20555"/>
    <w:rsid w:val="71DA77B8"/>
    <w:rsid w:val="71F65975"/>
    <w:rsid w:val="72355C90"/>
    <w:rsid w:val="72370EF3"/>
    <w:rsid w:val="723E1C2C"/>
    <w:rsid w:val="724A0B59"/>
    <w:rsid w:val="724B3C7A"/>
    <w:rsid w:val="72520EDB"/>
    <w:rsid w:val="72522107"/>
    <w:rsid w:val="7258227F"/>
    <w:rsid w:val="72713F85"/>
    <w:rsid w:val="72725AF0"/>
    <w:rsid w:val="727E25B6"/>
    <w:rsid w:val="72A264DB"/>
    <w:rsid w:val="72BD48D1"/>
    <w:rsid w:val="72C65D78"/>
    <w:rsid w:val="72D7336E"/>
    <w:rsid w:val="72FD0906"/>
    <w:rsid w:val="730D5259"/>
    <w:rsid w:val="73795D74"/>
    <w:rsid w:val="739509FA"/>
    <w:rsid w:val="73A80755"/>
    <w:rsid w:val="73C4164C"/>
    <w:rsid w:val="73CC653A"/>
    <w:rsid w:val="73D159A1"/>
    <w:rsid w:val="73F35C20"/>
    <w:rsid w:val="73F8462A"/>
    <w:rsid w:val="741D2D43"/>
    <w:rsid w:val="745F4062"/>
    <w:rsid w:val="74963A01"/>
    <w:rsid w:val="74DA2ED7"/>
    <w:rsid w:val="74DF558B"/>
    <w:rsid w:val="74DF6C7A"/>
    <w:rsid w:val="74EE1D1B"/>
    <w:rsid w:val="74F826B3"/>
    <w:rsid w:val="74F9578E"/>
    <w:rsid w:val="75067D82"/>
    <w:rsid w:val="75152359"/>
    <w:rsid w:val="7523445E"/>
    <w:rsid w:val="752955C7"/>
    <w:rsid w:val="75473AB6"/>
    <w:rsid w:val="75583501"/>
    <w:rsid w:val="755A639D"/>
    <w:rsid w:val="75612341"/>
    <w:rsid w:val="75882465"/>
    <w:rsid w:val="75984531"/>
    <w:rsid w:val="75C43880"/>
    <w:rsid w:val="75CA48E7"/>
    <w:rsid w:val="75E027FD"/>
    <w:rsid w:val="765629A7"/>
    <w:rsid w:val="76752691"/>
    <w:rsid w:val="76830E89"/>
    <w:rsid w:val="76924971"/>
    <w:rsid w:val="76933E2E"/>
    <w:rsid w:val="76A27B4C"/>
    <w:rsid w:val="76B918A6"/>
    <w:rsid w:val="76BC587C"/>
    <w:rsid w:val="76BF7808"/>
    <w:rsid w:val="76C00AFC"/>
    <w:rsid w:val="76E46C5B"/>
    <w:rsid w:val="76ED1347"/>
    <w:rsid w:val="76F433E8"/>
    <w:rsid w:val="7701218A"/>
    <w:rsid w:val="771946D8"/>
    <w:rsid w:val="772268FD"/>
    <w:rsid w:val="77334C65"/>
    <w:rsid w:val="77474684"/>
    <w:rsid w:val="775666E2"/>
    <w:rsid w:val="77A82770"/>
    <w:rsid w:val="77BD7E72"/>
    <w:rsid w:val="77ED0386"/>
    <w:rsid w:val="77ED2F6B"/>
    <w:rsid w:val="77F72469"/>
    <w:rsid w:val="78366B8C"/>
    <w:rsid w:val="783B287A"/>
    <w:rsid w:val="78482C69"/>
    <w:rsid w:val="786F4C48"/>
    <w:rsid w:val="78727815"/>
    <w:rsid w:val="78B43B82"/>
    <w:rsid w:val="78BB76EA"/>
    <w:rsid w:val="78F65C61"/>
    <w:rsid w:val="78FB1BD1"/>
    <w:rsid w:val="790E0880"/>
    <w:rsid w:val="791F30EE"/>
    <w:rsid w:val="79213328"/>
    <w:rsid w:val="7964511F"/>
    <w:rsid w:val="799E7491"/>
    <w:rsid w:val="799F3F47"/>
    <w:rsid w:val="79A72484"/>
    <w:rsid w:val="79BA471D"/>
    <w:rsid w:val="79C24113"/>
    <w:rsid w:val="79DF005F"/>
    <w:rsid w:val="79E028EC"/>
    <w:rsid w:val="7A114E8A"/>
    <w:rsid w:val="7A1C5B1C"/>
    <w:rsid w:val="7A2443D2"/>
    <w:rsid w:val="7A2C78B9"/>
    <w:rsid w:val="7A4653BA"/>
    <w:rsid w:val="7A4C589B"/>
    <w:rsid w:val="7A765EEC"/>
    <w:rsid w:val="7A790CA9"/>
    <w:rsid w:val="7AB83F1D"/>
    <w:rsid w:val="7AD234FC"/>
    <w:rsid w:val="7AE2061C"/>
    <w:rsid w:val="7B002131"/>
    <w:rsid w:val="7B0864F6"/>
    <w:rsid w:val="7B0C281C"/>
    <w:rsid w:val="7B1B16D3"/>
    <w:rsid w:val="7B2E6780"/>
    <w:rsid w:val="7B5D217A"/>
    <w:rsid w:val="7B614801"/>
    <w:rsid w:val="7B684A54"/>
    <w:rsid w:val="7B913B86"/>
    <w:rsid w:val="7B97422A"/>
    <w:rsid w:val="7BA969F0"/>
    <w:rsid w:val="7BB31B68"/>
    <w:rsid w:val="7C014819"/>
    <w:rsid w:val="7C071C5F"/>
    <w:rsid w:val="7C194469"/>
    <w:rsid w:val="7C1A6CD5"/>
    <w:rsid w:val="7C2630F4"/>
    <w:rsid w:val="7C45471C"/>
    <w:rsid w:val="7C7E27D3"/>
    <w:rsid w:val="7C7F3629"/>
    <w:rsid w:val="7C8B7A6D"/>
    <w:rsid w:val="7C90110D"/>
    <w:rsid w:val="7C9B6AF6"/>
    <w:rsid w:val="7CA34622"/>
    <w:rsid w:val="7CF864A6"/>
    <w:rsid w:val="7D0C237E"/>
    <w:rsid w:val="7D1D5A8F"/>
    <w:rsid w:val="7D2F6FF7"/>
    <w:rsid w:val="7D303FCF"/>
    <w:rsid w:val="7D332F6D"/>
    <w:rsid w:val="7D3D587B"/>
    <w:rsid w:val="7D3D5AB8"/>
    <w:rsid w:val="7D4435DF"/>
    <w:rsid w:val="7D6177E3"/>
    <w:rsid w:val="7D694213"/>
    <w:rsid w:val="7D6E6D2F"/>
    <w:rsid w:val="7DB838C8"/>
    <w:rsid w:val="7DC23C3E"/>
    <w:rsid w:val="7DCA5633"/>
    <w:rsid w:val="7DF46E1B"/>
    <w:rsid w:val="7E0464CE"/>
    <w:rsid w:val="7E202324"/>
    <w:rsid w:val="7E2C2660"/>
    <w:rsid w:val="7E476D34"/>
    <w:rsid w:val="7E6D6DAE"/>
    <w:rsid w:val="7E9B11AA"/>
    <w:rsid w:val="7EA32AD0"/>
    <w:rsid w:val="7ED953E3"/>
    <w:rsid w:val="7EF765D0"/>
    <w:rsid w:val="7EF87C96"/>
    <w:rsid w:val="7F045F39"/>
    <w:rsid w:val="7F1905F5"/>
    <w:rsid w:val="7F301B1E"/>
    <w:rsid w:val="7F375D0A"/>
    <w:rsid w:val="7F500CBA"/>
    <w:rsid w:val="7F587DE1"/>
    <w:rsid w:val="7F820D78"/>
    <w:rsid w:val="7F890F2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宋体" w:cs="Times New Roman"/>
      <w:sz w:val="22"/>
      <w:szCs w:val="22"/>
      <w:lang w:val="en-US" w:eastAsia="zh-CN" w:bidi="ar-SA"/>
    </w:rPr>
  </w:style>
  <w:style w:type="paragraph" w:styleId="2">
    <w:name w:val="heading 1"/>
    <w:basedOn w:val="1"/>
    <w:next w:val="1"/>
    <w:link w:val="59"/>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4"/>
    <w:qFormat/>
    <w:uiPriority w:val="0"/>
    <w:pPr>
      <w:keepNext/>
      <w:keepLines/>
      <w:numPr>
        <w:ilvl w:val="1"/>
        <w:numId w:val="1"/>
      </w:numPr>
      <w:spacing w:before="260" w:after="260" w:line="413" w:lineRule="auto"/>
      <w:outlineLvl w:val="1"/>
    </w:pPr>
    <w:rPr>
      <w:rFonts w:ascii="Arial" w:hAnsi="Arial" w:eastAsia="黑体"/>
      <w:b/>
      <w:sz w:val="32"/>
    </w:rPr>
  </w:style>
  <w:style w:type="paragraph" w:styleId="5">
    <w:name w:val="heading 3"/>
    <w:basedOn w:val="1"/>
    <w:next w:val="1"/>
    <w:link w:val="58"/>
    <w:qFormat/>
    <w:uiPriority w:val="9"/>
    <w:pPr>
      <w:keepNext/>
      <w:keepLines/>
      <w:numPr>
        <w:ilvl w:val="2"/>
        <w:numId w:val="1"/>
      </w:numPr>
      <w:tabs>
        <w:tab w:val="left" w:pos="720"/>
      </w:tabs>
      <w:spacing w:before="260" w:after="260" w:line="416" w:lineRule="auto"/>
      <w:outlineLvl w:val="2"/>
    </w:pPr>
    <w:rPr>
      <w:b/>
      <w:bCs/>
      <w:sz w:val="32"/>
      <w:szCs w:val="32"/>
    </w:rPr>
  </w:style>
  <w:style w:type="paragraph" w:styleId="6">
    <w:name w:val="heading 4"/>
    <w:basedOn w:val="5"/>
    <w:next w:val="1"/>
    <w:qFormat/>
    <w:uiPriority w:val="9"/>
    <w:pPr>
      <w:numPr>
        <w:ilvl w:val="3"/>
      </w:numPr>
      <w:outlineLvl w:val="3"/>
    </w:pPr>
    <w:rPr>
      <w:sz w:val="24"/>
    </w:rPr>
  </w:style>
  <w:style w:type="paragraph" w:styleId="7">
    <w:name w:val="heading 5"/>
    <w:basedOn w:val="1"/>
    <w:next w:val="1"/>
    <w:qFormat/>
    <w:uiPriority w:val="9"/>
    <w:pPr>
      <w:numPr>
        <w:ilvl w:val="4"/>
        <w:numId w:val="1"/>
      </w:numPr>
      <w:spacing w:after="0"/>
      <w:outlineLvl w:val="4"/>
    </w:pPr>
    <w:rPr>
      <w:rFonts w:hint="eastAsia" w:ascii="宋体" w:hAnsi="宋体"/>
      <w:b/>
      <w:color w:val="666666"/>
      <w:sz w:val="20"/>
      <w:szCs w:val="20"/>
    </w:rPr>
  </w:style>
  <w:style w:type="paragraph" w:styleId="8">
    <w:name w:val="heading 6"/>
    <w:basedOn w:val="1"/>
    <w:next w:val="1"/>
    <w:semiHidden/>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9">
    <w:name w:val="heading 7"/>
    <w:basedOn w:val="1"/>
    <w:next w:val="1"/>
    <w:semiHidden/>
    <w:unhideWhenUsed/>
    <w:qFormat/>
    <w:uiPriority w:val="9"/>
    <w:pPr>
      <w:keepNext/>
      <w:keepLines/>
      <w:numPr>
        <w:ilvl w:val="6"/>
        <w:numId w:val="1"/>
      </w:numPr>
      <w:spacing w:before="240" w:after="64" w:line="317" w:lineRule="auto"/>
      <w:outlineLvl w:val="6"/>
    </w:pPr>
    <w:rPr>
      <w:b/>
      <w:sz w:val="24"/>
    </w:rPr>
  </w:style>
  <w:style w:type="paragraph" w:styleId="10">
    <w:name w:val="heading 8"/>
    <w:basedOn w:val="1"/>
    <w:next w:val="1"/>
    <w:semiHidden/>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1">
    <w:name w:val="heading 9"/>
    <w:basedOn w:val="1"/>
    <w:next w:val="1"/>
    <w:semiHidden/>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6">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50"/>
    <w:qFormat/>
    <w:uiPriority w:val="0"/>
    <w:pPr>
      <w:widowControl w:val="0"/>
      <w:spacing w:after="0" w:line="240" w:lineRule="auto"/>
      <w:jc w:val="both"/>
    </w:pPr>
    <w:rPr>
      <w:color w:val="0000FF"/>
      <w:kern w:val="2"/>
      <w:sz w:val="21"/>
      <w:szCs w:val="20"/>
    </w:rPr>
  </w:style>
  <w:style w:type="paragraph" w:styleId="12">
    <w:name w:val="Normal Indent"/>
    <w:basedOn w:val="1"/>
    <w:qFormat/>
    <w:uiPriority w:val="0"/>
    <w:pPr>
      <w:widowControl w:val="0"/>
      <w:spacing w:after="0" w:line="240" w:lineRule="auto"/>
      <w:ind w:firstLine="420"/>
      <w:jc w:val="both"/>
    </w:pPr>
    <w:rPr>
      <w:kern w:val="2"/>
      <w:sz w:val="21"/>
      <w:szCs w:val="20"/>
    </w:rPr>
  </w:style>
  <w:style w:type="paragraph" w:styleId="13">
    <w:name w:val="caption"/>
    <w:basedOn w:val="1"/>
    <w:next w:val="1"/>
    <w:link w:val="44"/>
    <w:qFormat/>
    <w:uiPriority w:val="0"/>
    <w:pPr>
      <w:tabs>
        <w:tab w:val="left" w:pos="1418"/>
      </w:tabs>
      <w:spacing w:before="120" w:after="120" w:line="240" w:lineRule="auto"/>
    </w:pPr>
    <w:rPr>
      <w:b/>
      <w:bCs/>
      <w:sz w:val="20"/>
      <w:szCs w:val="20"/>
      <w:lang w:val="en-GB" w:eastAsia="sv-SE"/>
    </w:rPr>
  </w:style>
  <w:style w:type="paragraph" w:styleId="14">
    <w:name w:val="Document Map"/>
    <w:basedOn w:val="1"/>
    <w:link w:val="56"/>
    <w:unhideWhenUsed/>
    <w:qFormat/>
    <w:uiPriority w:val="99"/>
    <w:rPr>
      <w:rFonts w:ascii="宋体"/>
      <w:sz w:val="18"/>
      <w:szCs w:val="18"/>
    </w:rPr>
  </w:style>
  <w:style w:type="paragraph" w:styleId="15">
    <w:name w:val="annotation text"/>
    <w:basedOn w:val="1"/>
    <w:link w:val="49"/>
    <w:unhideWhenUsed/>
    <w:qFormat/>
    <w:uiPriority w:val="0"/>
    <w:rPr>
      <w:sz w:val="20"/>
      <w:szCs w:val="20"/>
    </w:rPr>
  </w:style>
  <w:style w:type="paragraph" w:styleId="16">
    <w:name w:val="Balloon Text"/>
    <w:basedOn w:val="1"/>
    <w:link w:val="34"/>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35"/>
    <w:qFormat/>
    <w:uiPriority w:val="0"/>
    <w:pPr>
      <w:tabs>
        <w:tab w:val="center" w:pos="4536"/>
        <w:tab w:val="right" w:pos="9072"/>
      </w:tabs>
      <w:spacing w:after="0" w:line="240" w:lineRule="auto"/>
    </w:pPr>
    <w:rPr>
      <w:rFonts w:ascii="Arial" w:hAnsi="Arial" w:eastAsia="MS Mincho"/>
      <w:b/>
      <w:sz w:val="20"/>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37"/>
    <w:semiHidden/>
    <w:qFormat/>
    <w:uiPriority w:val="0"/>
    <w:pPr>
      <w:spacing w:after="0" w:line="240" w:lineRule="auto"/>
      <w:jc w:val="both"/>
    </w:pPr>
    <w:rPr>
      <w:rFonts w:ascii="Times" w:hAnsi="Times" w:eastAsia="Batang"/>
      <w:sz w:val="20"/>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5"/>
    <w:next w:val="15"/>
    <w:link w:val="36"/>
    <w:unhideWhenUsed/>
    <w:qFormat/>
    <w:uiPriority w:val="99"/>
    <w:rPr>
      <w:b/>
      <w:bCs/>
    </w:rPr>
  </w:style>
  <w:style w:type="table" w:styleId="24">
    <w:name w:val="Table Grid"/>
    <w:basedOn w:val="23"/>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qFormat/>
    <w:uiPriority w:val="2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批注框文本 Char"/>
    <w:link w:val="16"/>
    <w:semiHidden/>
    <w:qFormat/>
    <w:uiPriority w:val="99"/>
    <w:rPr>
      <w:rFonts w:ascii="Tahoma" w:hAnsi="Tahoma" w:cs="Tahoma"/>
      <w:sz w:val="16"/>
      <w:szCs w:val="16"/>
    </w:rPr>
  </w:style>
  <w:style w:type="character" w:customStyle="1" w:styleId="35">
    <w:name w:val="页眉 Char"/>
    <w:link w:val="18"/>
    <w:qFormat/>
    <w:uiPriority w:val="0"/>
    <w:rPr>
      <w:rFonts w:ascii="Arial" w:hAnsi="Arial" w:eastAsia="MS Mincho"/>
      <w:b/>
      <w:szCs w:val="24"/>
      <w:lang w:eastAsia="en-US"/>
    </w:rPr>
  </w:style>
  <w:style w:type="character" w:customStyle="1" w:styleId="36">
    <w:name w:val="批注主题 Char"/>
    <w:link w:val="22"/>
    <w:semiHidden/>
    <w:qFormat/>
    <w:uiPriority w:val="99"/>
    <w:rPr>
      <w:b/>
      <w:bCs/>
    </w:rPr>
  </w:style>
  <w:style w:type="character" w:customStyle="1" w:styleId="37">
    <w:name w:val="脚注文本 Char"/>
    <w:link w:val="20"/>
    <w:semiHidden/>
    <w:qFormat/>
    <w:uiPriority w:val="0"/>
    <w:rPr>
      <w:rFonts w:ascii="Times" w:hAnsi="Times" w:eastAsia="Batang"/>
      <w:lang w:eastAsia="en-US"/>
    </w:rPr>
  </w:style>
  <w:style w:type="character" w:customStyle="1" w:styleId="38">
    <w:name w:val="TH Char"/>
    <w:link w:val="39"/>
    <w:qFormat/>
    <w:uiPriority w:val="0"/>
    <w:rPr>
      <w:rFonts w:ascii="Arial" w:hAnsi="Arial"/>
      <w:b/>
      <w:lang w:val="en-GB" w:eastAsia="en-US"/>
    </w:rPr>
  </w:style>
  <w:style w:type="paragraph" w:customStyle="1" w:styleId="39">
    <w:name w:val="TH"/>
    <w:basedOn w:val="1"/>
    <w:link w:val="38"/>
    <w:qFormat/>
    <w:uiPriority w:val="0"/>
    <w:pPr>
      <w:keepNext/>
      <w:keepLines/>
      <w:spacing w:before="60" w:after="180" w:line="240" w:lineRule="auto"/>
      <w:jc w:val="center"/>
    </w:pPr>
    <w:rPr>
      <w:rFonts w:ascii="Arial" w:hAnsi="Arial"/>
      <w:b/>
      <w:sz w:val="20"/>
      <w:szCs w:val="20"/>
      <w:lang w:val="en-GB" w:eastAsia="en-US"/>
    </w:rPr>
  </w:style>
  <w:style w:type="character" w:customStyle="1" w:styleId="40">
    <w:name w:val="TAC Char"/>
    <w:link w:val="41"/>
    <w:qFormat/>
    <w:uiPriority w:val="0"/>
    <w:rPr>
      <w:rFonts w:ascii="Arial" w:hAnsi="Arial" w:eastAsia="Times New Roman"/>
      <w:sz w:val="18"/>
      <w:lang w:val="en-GB" w:eastAsia="en-GB"/>
    </w:rPr>
  </w:style>
  <w:style w:type="paragraph" w:customStyle="1" w:styleId="41">
    <w:name w:val="TAC"/>
    <w:basedOn w:val="42"/>
    <w:link w:val="40"/>
    <w:qFormat/>
    <w:uiPriority w:val="0"/>
    <w:pPr>
      <w:overflowPunct w:val="0"/>
      <w:autoSpaceDE w:val="0"/>
      <w:autoSpaceDN w:val="0"/>
      <w:adjustRightInd w:val="0"/>
      <w:jc w:val="center"/>
      <w:textAlignment w:val="baseline"/>
    </w:pPr>
    <w:rPr>
      <w:rFonts w:eastAsia="Times New Roman"/>
      <w:lang w:eastAsia="en-GB"/>
    </w:rPr>
  </w:style>
  <w:style w:type="paragraph" w:customStyle="1" w:styleId="42">
    <w:name w:val="TAL"/>
    <w:basedOn w:val="1"/>
    <w:qFormat/>
    <w:uiPriority w:val="0"/>
    <w:pPr>
      <w:keepNext/>
      <w:keepLines/>
      <w:spacing w:after="0" w:line="240" w:lineRule="auto"/>
    </w:pPr>
    <w:rPr>
      <w:rFonts w:ascii="Arial" w:hAnsi="Arial"/>
      <w:sz w:val="18"/>
      <w:szCs w:val="20"/>
      <w:lang w:val="en-GB" w:eastAsia="en-US"/>
    </w:rPr>
  </w:style>
  <w:style w:type="character" w:customStyle="1" w:styleId="43">
    <w:name w:val="apple-converted-space"/>
    <w:basedOn w:val="26"/>
    <w:qFormat/>
    <w:uiPriority w:val="0"/>
  </w:style>
  <w:style w:type="character" w:customStyle="1" w:styleId="44">
    <w:name w:val="题注 Char"/>
    <w:link w:val="13"/>
    <w:qFormat/>
    <w:uiPriority w:val="0"/>
    <w:rPr>
      <w:rFonts w:ascii="Times New Roman" w:hAnsi="Times New Roman"/>
      <w:b/>
      <w:bCs/>
      <w:lang w:val="en-GB" w:eastAsia="sv-SE"/>
    </w:rPr>
  </w:style>
  <w:style w:type="character" w:customStyle="1" w:styleId="45">
    <w:name w:val="B1 (文字)"/>
    <w:link w:val="46"/>
    <w:qFormat/>
    <w:locked/>
    <w:uiPriority w:val="99"/>
    <w:rPr>
      <w:rFonts w:ascii="Times New Roman" w:hAnsi="Times New Roman" w:eastAsia="宋体"/>
      <w:lang w:val="en-GB" w:eastAsia="en-US"/>
    </w:rPr>
  </w:style>
  <w:style w:type="paragraph" w:customStyle="1" w:styleId="46">
    <w:name w:val="B1"/>
    <w:basedOn w:val="19"/>
    <w:link w:val="45"/>
    <w:qFormat/>
    <w:uiPriority w:val="0"/>
    <w:pPr>
      <w:spacing w:after="180" w:line="240" w:lineRule="auto"/>
      <w:ind w:left="568" w:hanging="284" w:firstLineChars="0"/>
    </w:pPr>
    <w:rPr>
      <w:sz w:val="20"/>
      <w:szCs w:val="20"/>
      <w:lang w:val="en-GB" w:eastAsia="en-US"/>
    </w:rPr>
  </w:style>
  <w:style w:type="character" w:customStyle="1" w:styleId="47">
    <w:name w:val="main text Char"/>
    <w:link w:val="48"/>
    <w:qFormat/>
    <w:uiPriority w:val="0"/>
    <w:rPr>
      <w:rFonts w:ascii="Times New Roman" w:hAnsi="Times New Roman" w:eastAsia="Malgun Gothic"/>
      <w:lang w:val="en-GB" w:eastAsia="ko-KR"/>
    </w:rPr>
  </w:style>
  <w:style w:type="paragraph" w:customStyle="1" w:styleId="48">
    <w:name w:val="main text"/>
    <w:basedOn w:val="1"/>
    <w:link w:val="47"/>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49">
    <w:name w:val="批注文字 Char"/>
    <w:basedOn w:val="26"/>
    <w:link w:val="15"/>
    <w:qFormat/>
    <w:uiPriority w:val="0"/>
  </w:style>
  <w:style w:type="character" w:customStyle="1" w:styleId="50">
    <w:name w:val="正文文本 Char"/>
    <w:link w:val="4"/>
    <w:qFormat/>
    <w:uiPriority w:val="0"/>
    <w:rPr>
      <w:rFonts w:ascii="Times New Roman" w:hAnsi="Times New Roman"/>
      <w:color w:val="0000FF"/>
      <w:kern w:val="2"/>
      <w:sz w:val="21"/>
    </w:rPr>
  </w:style>
  <w:style w:type="character" w:customStyle="1" w:styleId="51">
    <w:name w:val="def"/>
    <w:basedOn w:val="26"/>
    <w:qFormat/>
    <w:uiPriority w:val="0"/>
  </w:style>
  <w:style w:type="character" w:customStyle="1" w:styleId="52">
    <w:name w:val="中等深浅网格 1 - 强调文字颜色 2 Char"/>
    <w:qFormat/>
    <w:locked/>
    <w:uiPriority w:val="34"/>
    <w:rPr>
      <w:rFonts w:ascii="Times New Roman" w:hAnsi="Times New Roman"/>
      <w:kern w:val="2"/>
      <w:sz w:val="21"/>
      <w:szCs w:val="24"/>
    </w:rPr>
  </w:style>
  <w:style w:type="character" w:customStyle="1" w:styleId="53">
    <w:name w:val="Normal with indent Char"/>
    <w:link w:val="54"/>
    <w:qFormat/>
    <w:uiPriority w:val="0"/>
    <w:rPr>
      <w:rFonts w:ascii="Times New Roman" w:hAnsi="Times New Roman" w:eastAsia="Malgun Gothic"/>
      <w:lang w:val="en-GB" w:eastAsia="ko-KR"/>
    </w:rPr>
  </w:style>
  <w:style w:type="paragraph" w:customStyle="1" w:styleId="54">
    <w:name w:val="Normal with indent"/>
    <w:basedOn w:val="1"/>
    <w:link w:val="53"/>
    <w:qFormat/>
    <w:uiPriority w:val="0"/>
    <w:pPr>
      <w:spacing w:before="120" w:after="120" w:line="336" w:lineRule="auto"/>
      <w:ind w:firstLine="397"/>
      <w:jc w:val="both"/>
    </w:pPr>
    <w:rPr>
      <w:rFonts w:eastAsia="Malgun Gothic"/>
      <w:sz w:val="20"/>
      <w:szCs w:val="20"/>
      <w:lang w:val="en-GB" w:eastAsia="ko-KR"/>
    </w:rPr>
  </w:style>
  <w:style w:type="character" w:customStyle="1" w:styleId="55">
    <w:name w:val="word"/>
    <w:basedOn w:val="26"/>
    <w:qFormat/>
    <w:uiPriority w:val="0"/>
  </w:style>
  <w:style w:type="character" w:customStyle="1" w:styleId="56">
    <w:name w:val="文档结构图 Char"/>
    <w:link w:val="14"/>
    <w:semiHidden/>
    <w:qFormat/>
    <w:uiPriority w:val="99"/>
    <w:rPr>
      <w:rFonts w:ascii="宋体"/>
      <w:sz w:val="18"/>
      <w:szCs w:val="18"/>
    </w:rPr>
  </w:style>
  <w:style w:type="character" w:customStyle="1" w:styleId="57">
    <w:name w:val="high-light"/>
    <w:basedOn w:val="26"/>
    <w:qFormat/>
    <w:uiPriority w:val="0"/>
  </w:style>
  <w:style w:type="character" w:customStyle="1" w:styleId="58">
    <w:name w:val="标题 3 Char"/>
    <w:link w:val="5"/>
    <w:qFormat/>
    <w:uiPriority w:val="9"/>
    <w:rPr>
      <w:b/>
      <w:bCs/>
      <w:sz w:val="32"/>
      <w:szCs w:val="32"/>
    </w:rPr>
  </w:style>
  <w:style w:type="character" w:customStyle="1" w:styleId="59">
    <w:name w:val="标题 1 Char"/>
    <w:link w:val="2"/>
    <w:qFormat/>
    <w:uiPriority w:val="99"/>
    <w:rPr>
      <w:rFonts w:ascii="Arial" w:hAnsi="Arial" w:eastAsia="黑体"/>
      <w:b/>
      <w:bCs/>
      <w:sz w:val="30"/>
      <w:szCs w:val="30"/>
      <w:lang w:val="zh-CN"/>
    </w:rPr>
  </w:style>
  <w:style w:type="character" w:customStyle="1" w:styleId="60">
    <w:name w:val="pos"/>
    <w:basedOn w:val="26"/>
    <w:qFormat/>
    <w:uiPriority w:val="0"/>
  </w:style>
  <w:style w:type="character" w:customStyle="1" w:styleId="61">
    <w:name w:val="apple-style-span"/>
    <w:basedOn w:val="26"/>
    <w:qFormat/>
    <w:uiPriority w:val="0"/>
  </w:style>
  <w:style w:type="character" w:customStyle="1" w:styleId="62">
    <w:name w:val="ZGSM"/>
    <w:qFormat/>
    <w:uiPriority w:val="0"/>
  </w:style>
  <w:style w:type="paragraph" w:customStyle="1" w:styleId="63">
    <w:name w:val="TAH"/>
    <w:basedOn w:val="41"/>
    <w:link w:val="90"/>
    <w:qFormat/>
    <w:uiPriority w:val="0"/>
    <w:rPr>
      <w:b/>
    </w:rPr>
  </w:style>
  <w:style w:type="paragraph" w:customStyle="1" w:styleId="64">
    <w:name w:val="无间隔1"/>
    <w:qFormat/>
    <w:uiPriority w:val="99"/>
    <w:rPr>
      <w:rFonts w:ascii="Times New Roman" w:hAnsi="Times New Roman" w:eastAsia="宋体" w:cs="Times New Roman"/>
      <w:sz w:val="22"/>
      <w:szCs w:val="22"/>
      <w:lang w:val="en-US" w:eastAsia="zh-CN" w:bidi="ar-SA"/>
    </w:rPr>
  </w:style>
  <w:style w:type="paragraph" w:customStyle="1" w:styleId="65">
    <w:name w:val="RAN1 bullet2"/>
    <w:basedOn w:val="1"/>
    <w:qFormat/>
    <w:uiPriority w:val="0"/>
    <w:pPr>
      <w:numPr>
        <w:ilvl w:val="1"/>
        <w:numId w:val="2"/>
      </w:numPr>
    </w:pPr>
    <w:rPr>
      <w:szCs w:val="20"/>
    </w:rPr>
  </w:style>
  <w:style w:type="paragraph" w:customStyle="1" w:styleId="66">
    <w:name w:val="PaperTableCell"/>
    <w:basedOn w:val="1"/>
    <w:qFormat/>
    <w:uiPriority w:val="0"/>
    <w:pPr>
      <w:spacing w:after="0" w:line="240" w:lineRule="auto"/>
      <w:jc w:val="both"/>
    </w:pPr>
    <w:rPr>
      <w:rFonts w:eastAsia="Times New Roman"/>
      <w:sz w:val="16"/>
      <w:szCs w:val="24"/>
      <w:lang w:eastAsia="en-US"/>
    </w:rPr>
  </w:style>
  <w:style w:type="paragraph" w:customStyle="1" w:styleId="67">
    <w:name w:val="CR Cover Page"/>
    <w:qFormat/>
    <w:uiPriority w:val="0"/>
    <w:pPr>
      <w:spacing w:after="120"/>
    </w:pPr>
    <w:rPr>
      <w:rFonts w:ascii="Arial" w:hAnsi="Arial" w:eastAsia="MS Mincho" w:cs="Times New Roman"/>
      <w:lang w:val="en-GB" w:eastAsia="en-US" w:bidi="ar-SA"/>
    </w:rPr>
  </w:style>
  <w:style w:type="paragraph" w:customStyle="1" w:styleId="68">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69">
    <w:name w:val="EQ"/>
    <w:basedOn w:val="1"/>
    <w:next w:val="1"/>
    <w:qFormat/>
    <w:uiPriority w:val="0"/>
    <w:pPr>
      <w:keepLines/>
      <w:tabs>
        <w:tab w:val="center" w:pos="4536"/>
        <w:tab w:val="right" w:pos="9072"/>
      </w:tabs>
      <w:spacing w:after="180" w:line="240" w:lineRule="auto"/>
    </w:pPr>
    <w:rPr>
      <w:sz w:val="20"/>
      <w:szCs w:val="20"/>
      <w:lang w:val="en-GB" w:eastAsia="en-US"/>
    </w:rPr>
  </w:style>
  <w:style w:type="paragraph" w:customStyle="1" w:styleId="70">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1">
    <w:name w:val="RAN1 bullet3"/>
    <w:basedOn w:val="65"/>
    <w:qFormat/>
    <w:uiPriority w:val="0"/>
    <w:pPr>
      <w:numPr>
        <w:ilvl w:val="2"/>
        <w:numId w:val="3"/>
      </w:numPr>
    </w:pPr>
  </w:style>
  <w:style w:type="paragraph" w:customStyle="1" w:styleId="72">
    <w:name w:val="修订1"/>
    <w:qFormat/>
    <w:uiPriority w:val="71"/>
    <w:rPr>
      <w:rFonts w:ascii="Times New Roman" w:hAnsi="Times New Roman" w:eastAsia="宋体" w:cs="Times New Roman"/>
      <w:sz w:val="22"/>
      <w:szCs w:val="22"/>
      <w:lang w:val="en-US" w:eastAsia="zh-CN" w:bidi="ar-SA"/>
    </w:rPr>
  </w:style>
  <w:style w:type="paragraph" w:customStyle="1" w:styleId="73">
    <w:name w:val="No Spacing1"/>
    <w:qFormat/>
    <w:uiPriority w:val="1"/>
    <w:rPr>
      <w:rFonts w:ascii="Times New Roman" w:hAnsi="Times New Roman" w:eastAsia="宋体" w:cs="Times New Roman"/>
      <w:sz w:val="22"/>
      <w:szCs w:val="22"/>
      <w:lang w:val="en-US" w:eastAsia="zh-CN" w:bidi="ar-SA"/>
    </w:rPr>
  </w:style>
  <w:style w:type="paragraph" w:customStyle="1" w:styleId="74">
    <w:name w:val="彩色底纹 - 强调文字颜色 11"/>
    <w:qFormat/>
    <w:uiPriority w:val="71"/>
    <w:rPr>
      <w:rFonts w:ascii="Times New Roman" w:hAnsi="Times New Roman" w:eastAsia="宋体" w:cs="Times New Roman"/>
      <w:sz w:val="22"/>
      <w:szCs w:val="22"/>
      <w:lang w:val="en-US" w:eastAsia="zh-CN" w:bidi="ar-SA"/>
    </w:rPr>
  </w:style>
  <w:style w:type="paragraph" w:customStyle="1" w:styleId="75">
    <w:name w:val="RAN1 bullet1"/>
    <w:basedOn w:val="1"/>
    <w:link w:val="92"/>
    <w:qFormat/>
    <w:uiPriority w:val="0"/>
    <w:pPr>
      <w:numPr>
        <w:ilvl w:val="0"/>
        <w:numId w:val="4"/>
      </w:numPr>
    </w:pPr>
  </w:style>
  <w:style w:type="paragraph" w:customStyle="1" w:styleId="76">
    <w:name w:val="_Style 2"/>
    <w:qFormat/>
    <w:uiPriority w:val="99"/>
    <w:rPr>
      <w:rFonts w:ascii="Times New Roman" w:hAnsi="Times New Roman" w:eastAsia="宋体" w:cs="Times New Roman"/>
      <w:sz w:val="22"/>
      <w:szCs w:val="22"/>
      <w:lang w:val="en-US" w:eastAsia="zh-CN" w:bidi="ar-SA"/>
    </w:rPr>
  </w:style>
  <w:style w:type="paragraph" w:customStyle="1" w:styleId="77">
    <w:name w:val="_Style 1"/>
    <w:qFormat/>
    <w:uiPriority w:val="99"/>
    <w:rPr>
      <w:rFonts w:ascii="Times New Roman" w:hAnsi="Times New Roman" w:eastAsia="宋体" w:cs="Times New Roman"/>
      <w:sz w:val="22"/>
      <w:szCs w:val="22"/>
      <w:lang w:val="en-US" w:eastAsia="zh-CN" w:bidi="ar-SA"/>
    </w:rPr>
  </w:style>
  <w:style w:type="paragraph" w:customStyle="1" w:styleId="78">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79">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1">
    <w:name w:val="RAN1 text"/>
    <w:basedOn w:val="4"/>
    <w:link w:val="91"/>
    <w:qFormat/>
    <w:uiPriority w:val="0"/>
    <w:rPr>
      <w:rFonts w:eastAsia="MS Mincho"/>
    </w:rPr>
  </w:style>
  <w:style w:type="paragraph" w:customStyle="1" w:styleId="82">
    <w:name w:val="TF"/>
    <w:basedOn w:val="39"/>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3">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4">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5">
    <w:name w:val="List Paragraph1"/>
    <w:basedOn w:val="1"/>
    <w:qFormat/>
    <w:uiPriority w:val="34"/>
    <w:pPr>
      <w:widowControl w:val="0"/>
      <w:spacing w:after="0" w:line="240" w:lineRule="auto"/>
      <w:ind w:firstLine="420" w:firstLineChars="200"/>
      <w:jc w:val="both"/>
    </w:pPr>
    <w:rPr>
      <w:kern w:val="2"/>
      <w:sz w:val="21"/>
    </w:rPr>
  </w:style>
  <w:style w:type="table" w:customStyle="1" w:styleId="86">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CellMar>
        <w:top w:w="0" w:type="dxa"/>
        <w:left w:w="108" w:type="dxa"/>
        <w:bottom w:w="0" w:type="dxa"/>
        <w:right w:w="108" w:type="dxa"/>
      </w:tblCellMar>
    </w:tblPr>
  </w:style>
  <w:style w:type="character" w:customStyle="1" w:styleId="87">
    <w:name w:val="B1 Zchn"/>
    <w:qFormat/>
    <w:uiPriority w:val="0"/>
    <w:rPr>
      <w:lang w:val="en-GB" w:eastAsia="en-US"/>
    </w:rPr>
  </w:style>
  <w:style w:type="paragraph" w:customStyle="1" w:styleId="88">
    <w:name w:val="text"/>
    <w:basedOn w:val="1"/>
    <w:link w:val="89"/>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89">
    <w:name w:val="text Char"/>
    <w:link w:val="88"/>
    <w:qFormat/>
    <w:uiPriority w:val="0"/>
    <w:rPr>
      <w:sz w:val="24"/>
      <w:lang w:val="en-AU" w:eastAsia="en-GB"/>
    </w:rPr>
  </w:style>
  <w:style w:type="character" w:customStyle="1" w:styleId="90">
    <w:name w:val="TAH Car"/>
    <w:link w:val="63"/>
    <w:qFormat/>
    <w:uiPriority w:val="0"/>
    <w:rPr>
      <w:rFonts w:ascii="Arial" w:hAnsi="Arial" w:eastAsia="Times New Roman"/>
      <w:b/>
      <w:sz w:val="18"/>
      <w:lang w:val="en-GB" w:eastAsia="en-GB"/>
    </w:rPr>
  </w:style>
  <w:style w:type="character" w:customStyle="1" w:styleId="91">
    <w:name w:val="RAN1 text Char"/>
    <w:link w:val="81"/>
    <w:qFormat/>
    <w:uiPriority w:val="0"/>
    <w:rPr>
      <w:rFonts w:eastAsia="MS Mincho"/>
      <w:color w:val="0000FF"/>
      <w:kern w:val="2"/>
      <w:sz w:val="21"/>
    </w:rPr>
  </w:style>
  <w:style w:type="character" w:customStyle="1" w:styleId="92">
    <w:name w:val="RAN1 bullet1 Char"/>
    <w:link w:val="75"/>
    <w:qFormat/>
    <w:uiPriority w:val="0"/>
    <w:rPr>
      <w:sz w:val="22"/>
      <w:szCs w:val="22"/>
    </w:rPr>
  </w:style>
  <w:style w:type="character" w:customStyle="1" w:styleId="93">
    <w:name w:val="列出段落 Char"/>
    <w:link w:val="94"/>
    <w:qFormat/>
    <w:locked/>
    <w:uiPriority w:val="34"/>
    <w:rPr>
      <w:rFonts w:ascii="Times" w:hAnsi="Times" w:cs="Times"/>
      <w:szCs w:val="24"/>
      <w:lang w:val="en-GB" w:eastAsia="zh-CN"/>
    </w:rPr>
  </w:style>
  <w:style w:type="paragraph" w:customStyle="1" w:styleId="94">
    <w:name w:val="列出段落1"/>
    <w:basedOn w:val="1"/>
    <w:link w:val="93"/>
    <w:qFormat/>
    <w:uiPriority w:val="34"/>
    <w:pPr>
      <w:spacing w:after="0" w:line="240" w:lineRule="auto"/>
      <w:ind w:left="840" w:leftChars="400" w:hanging="720"/>
    </w:pPr>
    <w:rPr>
      <w:rFonts w:ascii="Times" w:hAnsi="Times" w:cs="Times"/>
      <w:sz w:val="20"/>
      <w:szCs w:val="24"/>
      <w:lang w:val="en-GB"/>
    </w:rPr>
  </w:style>
  <w:style w:type="paragraph" w:customStyle="1" w:styleId="95">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96">
    <w:name w:val="占位符文本1"/>
    <w:basedOn w:val="26"/>
    <w:unhideWhenUsed/>
    <w:qFormat/>
    <w:uiPriority w:val="99"/>
    <w:rPr>
      <w:color w:val="808080"/>
    </w:rPr>
  </w:style>
  <w:style w:type="paragraph" w:customStyle="1" w:styleId="97">
    <w:name w:val="正文1"/>
    <w:qFormat/>
    <w:uiPriority w:val="0"/>
    <w:pPr>
      <w:jc w:val="both"/>
    </w:pPr>
    <w:rPr>
      <w:rFonts w:ascii="Times New Roman" w:hAnsi="Times New Roman" w:eastAsia="宋体" w:cs="Times New Roman"/>
      <w:kern w:val="2"/>
      <w:sz w:val="21"/>
      <w:szCs w:val="21"/>
      <w:lang w:val="en-US" w:eastAsia="zh-CN" w:bidi="ar-SA"/>
    </w:rPr>
  </w:style>
  <w:style w:type="character" w:styleId="98">
    <w:name w:val="Placeholder Text"/>
    <w:basedOn w:val="26"/>
    <w:semiHidden/>
    <w:qFormat/>
    <w:uiPriority w:val="99"/>
    <w:rPr>
      <w:color w:val="808080"/>
    </w:rPr>
  </w:style>
  <w:style w:type="paragraph" w:styleId="99">
    <w:name w:val="List Paragraph"/>
    <w:basedOn w:val="1"/>
    <w:link w:val="107"/>
    <w:qFormat/>
    <w:uiPriority w:val="34"/>
    <w:pPr>
      <w:ind w:firstLine="420" w:firstLineChars="200"/>
    </w:pPr>
  </w:style>
  <w:style w:type="paragraph" w:customStyle="1" w:styleId="100">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01">
    <w:name w:val="样式1"/>
    <w:basedOn w:val="1"/>
    <w:link w:val="102"/>
    <w:qFormat/>
    <w:uiPriority w:val="0"/>
    <w:pPr>
      <w:snapToGrid w:val="0"/>
      <w:spacing w:before="120" w:after="120" w:afterLines="50" w:line="240" w:lineRule="auto"/>
      <w:jc w:val="both"/>
    </w:pPr>
    <w:rPr>
      <w:rFonts w:eastAsia="微软雅黑"/>
      <w:b/>
    </w:rPr>
  </w:style>
  <w:style w:type="character" w:customStyle="1" w:styleId="102">
    <w:name w:val="样式1 Char"/>
    <w:basedOn w:val="26"/>
    <w:link w:val="101"/>
    <w:qFormat/>
    <w:uiPriority w:val="0"/>
    <w:rPr>
      <w:rFonts w:eastAsia="微软雅黑"/>
      <w:b/>
      <w:sz w:val="22"/>
      <w:szCs w:val="22"/>
    </w:rPr>
  </w:style>
  <w:style w:type="paragraph" w:customStyle="1" w:styleId="103">
    <w:name w:val="Style1"/>
    <w:basedOn w:val="1"/>
    <w:link w:val="104"/>
    <w:qFormat/>
    <w:uiPriority w:val="0"/>
    <w:pPr>
      <w:spacing w:after="180" w:line="288" w:lineRule="auto"/>
      <w:ind w:firstLine="360"/>
      <w:jc w:val="both"/>
    </w:pPr>
    <w:rPr>
      <w:rFonts w:eastAsia="Malgun Gothic" w:cs="Batang"/>
      <w:sz w:val="20"/>
      <w:szCs w:val="20"/>
      <w:lang w:val="en-GB" w:eastAsia="en-US"/>
    </w:rPr>
  </w:style>
  <w:style w:type="character" w:customStyle="1" w:styleId="104">
    <w:name w:val="Style1 Char"/>
    <w:link w:val="103"/>
    <w:qFormat/>
    <w:uiPriority w:val="0"/>
    <w:rPr>
      <w:rFonts w:eastAsia="Malgun Gothic" w:cs="Batang"/>
      <w:lang w:val="en-GB" w:eastAsia="en-US"/>
    </w:rPr>
  </w:style>
  <w:style w:type="paragraph" w:customStyle="1" w:styleId="105">
    <w:name w:val="0 Main text"/>
    <w:basedOn w:val="48"/>
    <w:qFormat/>
    <w:uiPriority w:val="0"/>
    <w:pPr>
      <w:spacing w:before="0" w:after="100" w:afterAutospacing="1"/>
      <w:ind w:firstLine="360" w:firstLineChars="0"/>
    </w:pPr>
    <w:rPr>
      <w:rFonts w:cs="Batang"/>
      <w:lang w:eastAsia="en-US"/>
    </w:rPr>
  </w:style>
  <w:style w:type="paragraph" w:customStyle="1" w:styleId="106">
    <w:name w:val="正文3"/>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07">
    <w:name w:val="列出段落 Char1"/>
    <w:link w:val="99"/>
    <w:qFormat/>
    <w:locked/>
    <w:uiPriority w:val="34"/>
    <w:rPr>
      <w:rFonts w:ascii="Times New Roman" w:hAnsi="Times New Roman" w:eastAsia="宋体" w:cs="Times New Roman"/>
      <w:sz w:val="22"/>
      <w:szCs w:val="22"/>
    </w:rPr>
  </w:style>
  <w:style w:type="table" w:customStyle="1" w:styleId="108">
    <w:name w:val="网格表 2 - 着色 61"/>
    <w:basedOn w:val="23"/>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CellMar>
        <w:top w:w="0" w:type="dxa"/>
        <w:left w:w="108" w:type="dxa"/>
        <w:bottom w:w="0" w:type="dxa"/>
        <w:right w:w="108" w:type="dxa"/>
      </w:tblCellMar>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09">
    <w:name w:val="清单表 2 - 着色 61"/>
    <w:basedOn w:val="23"/>
    <w:qFormat/>
    <w:uiPriority w:val="47"/>
    <w:tblPr>
      <w:tblBorders>
        <w:top w:val="single" w:color="A8D08D" w:themeColor="accent6" w:themeTint="99" w:sz="4" w:space="0"/>
        <w:bottom w:val="single" w:color="A8D08D" w:themeColor="accent6" w:themeTint="99" w:sz="4" w:space="0"/>
        <w:insideH w:val="single" w:color="A8D08D" w:themeColor="accent6" w:themeTint="99" w:sz="4" w:space="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10">
    <w:name w:val="x_msonormal"/>
    <w:basedOn w:val="1"/>
    <w:qFormat/>
    <w:uiPriority w:val="99"/>
    <w:pPr>
      <w:spacing w:after="0" w:line="240" w:lineRule="auto"/>
    </w:pPr>
    <w:rPr>
      <w:rFonts w:ascii="Calibri" w:hAnsi="Calibri" w:eastAsia="Calibri" w:cs="Calibri"/>
      <w:lang w:eastAsia="en-US"/>
    </w:rPr>
  </w:style>
  <w:style w:type="character" w:customStyle="1" w:styleId="111">
    <w:name w:val="normaltextrun"/>
    <w:basedOn w:val="26"/>
    <w:qFormat/>
    <w:uiPriority w:val="0"/>
  </w:style>
  <w:style w:type="paragraph" w:customStyle="1" w:styleId="112">
    <w:name w:val="Default"/>
    <w:unhideWhenUsed/>
    <w:qFormat/>
    <w:uiPriority w:val="99"/>
    <w:pPr>
      <w:widowControl w:val="0"/>
      <w:autoSpaceDE w:val="0"/>
      <w:autoSpaceDN w:val="0"/>
      <w:adjustRightInd w:val="0"/>
    </w:pPr>
    <w:rPr>
      <w:rFonts w:hint="eastAsia" w:ascii="AAAAAD+HelveticaNeue-Light" w:hAnsi="AAAAAD+HelveticaNeue-Light" w:eastAsia="AAAAAD+HelveticaNeue-Light" w:cs="Times New Roman"/>
      <w:color w:val="000000"/>
      <w:sz w:val="24"/>
      <w:szCs w:val="24"/>
      <w:lang w:val="en-US" w:eastAsia="zh-CN" w:bidi="ar-SA"/>
    </w:rPr>
  </w:style>
  <w:style w:type="paragraph" w:customStyle="1" w:styleId="113">
    <w:name w:val="列出段落2"/>
    <w:basedOn w:val="1"/>
    <w:qFormat/>
    <w:uiPriority w:val="34"/>
    <w:pPr>
      <w:ind w:firstLine="420" w:firstLineChars="200"/>
    </w:pPr>
  </w:style>
  <w:style w:type="paragraph" w:customStyle="1" w:styleId="114">
    <w:name w:val="修订2"/>
    <w:hidden/>
    <w:semiHidden/>
    <w:qFormat/>
    <w:uiPriority w:val="99"/>
    <w:rPr>
      <w:rFonts w:ascii="Times New Roman"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5EA99-7223-40D7-B383-AFC375B71E83}">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8</Pages>
  <Words>4148</Words>
  <Characters>23644</Characters>
  <Lines>197</Lines>
  <Paragraphs>55</Paragraphs>
  <TotalTime>8</TotalTime>
  <ScaleCrop>false</ScaleCrop>
  <LinksUpToDate>false</LinksUpToDate>
  <CharactersWithSpaces>27737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2022-08-11T08:41:00Z</dcterms:created>
  <dc:creator>ZTE</dc:creator>
  <cp:lastModifiedBy>ZTE</cp:lastModifiedBy>
  <dcterms:modified xsi:type="dcterms:W3CDTF">2022-09-30T16:01:06Z</dcterms:modified>
  <dc:title>3GPP TSG-RAN WG1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